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FD160" w14:textId="77777777" w:rsidR="005A2BE5" w:rsidRDefault="00000000">
      <w:pPr>
        <w:pStyle w:val="a9"/>
        <w:spacing w:line="360" w:lineRule="auto"/>
        <w:jc w:val="both"/>
        <w:rPr>
          <w:rFonts w:asciiTheme="majorEastAsia" w:eastAsiaTheme="majorEastAsia" w:hAnsiTheme="majorEastAsia" w:hint="eastAsia"/>
          <w:b/>
        </w:rPr>
      </w:pPr>
      <w:r>
        <w:rPr>
          <w:rFonts w:hint="eastAsia"/>
          <w:b/>
          <w:bCs/>
        </w:rPr>
        <w:t>附件：</w:t>
      </w:r>
      <w:r>
        <w:rPr>
          <w:rFonts w:asciiTheme="majorEastAsia" w:eastAsiaTheme="majorEastAsia" w:hAnsiTheme="majorEastAsia" w:hint="eastAsia"/>
          <w:b/>
        </w:rPr>
        <w:t>拟转让技术简介</w:t>
      </w:r>
    </w:p>
    <w:p w14:paraId="436C1A11" w14:textId="6942A9AD" w:rsidR="005A2BE5" w:rsidRDefault="007B76C3">
      <w:pPr>
        <w:pStyle w:val="a9"/>
        <w:spacing w:line="360" w:lineRule="auto"/>
        <w:jc w:val="center"/>
        <w:rPr>
          <w:rFonts w:ascii="仿宋" w:eastAsia="仿宋" w:hAnsi="仿宋" w:cs="仿宋" w:hint="eastAsia"/>
          <w:sz w:val="28"/>
          <w:szCs w:val="28"/>
        </w:rPr>
      </w:pPr>
      <w:r w:rsidRPr="007B76C3">
        <w:rPr>
          <w:rFonts w:ascii="黑体" w:eastAsia="黑体" w:hAnsi="黑体" w:cs="黑体"/>
          <w:sz w:val="28"/>
          <w:szCs w:val="28"/>
        </w:rPr>
        <w:t>四端口电能路由器拓扑及其控制技术</w:t>
      </w:r>
    </w:p>
    <w:p w14:paraId="4E349F86" w14:textId="0553854C" w:rsidR="005A2BE5" w:rsidRDefault="007B76C3">
      <w:pPr>
        <w:adjustRightInd w:val="0"/>
        <w:snapToGrid w:val="0"/>
        <w:spacing w:line="360" w:lineRule="auto"/>
        <w:ind w:firstLineChars="200" w:firstLine="560"/>
        <w:rPr>
          <w:rFonts w:ascii="仿宋" w:eastAsia="仿宋" w:hAnsi="仿宋" w:cs="仿宋" w:hint="eastAsia"/>
          <w:sz w:val="28"/>
          <w:szCs w:val="28"/>
        </w:rPr>
      </w:pPr>
      <w:r w:rsidRPr="007B76C3">
        <w:rPr>
          <w:rFonts w:ascii="仿宋" w:eastAsia="仿宋" w:hAnsi="仿宋" w:cs="仿宋"/>
          <w:sz w:val="28"/>
          <w:szCs w:val="28"/>
        </w:rPr>
        <w:t>本</w:t>
      </w:r>
      <w:r>
        <w:rPr>
          <w:rFonts w:ascii="仿宋" w:eastAsia="仿宋" w:hAnsi="仿宋" w:cs="仿宋" w:hint="eastAsia"/>
          <w:sz w:val="28"/>
          <w:szCs w:val="28"/>
        </w:rPr>
        <w:t>技术</w:t>
      </w:r>
      <w:r w:rsidRPr="007B76C3">
        <w:rPr>
          <w:rFonts w:ascii="仿宋" w:eastAsia="仿宋" w:hAnsi="仿宋" w:cs="仿宋"/>
          <w:sz w:val="28"/>
          <w:szCs w:val="28"/>
        </w:rPr>
        <w:t>涉及电力电子领域，尤其涉及四端口直流电能路由器拓扑及其控制方法。</w:t>
      </w:r>
    </w:p>
    <w:p w14:paraId="585A9B4A" w14:textId="77777777" w:rsidR="005A2BE5" w:rsidRDefault="00000000">
      <w:pPr>
        <w:adjustRightInd w:val="0"/>
        <w:snapToGrid w:val="0"/>
        <w:spacing w:line="400" w:lineRule="exact"/>
        <w:rPr>
          <w:rFonts w:ascii="宋体" w:hAnsi="宋体" w:hint="eastAsia"/>
          <w:b/>
          <w:bCs/>
          <w:color w:val="000000"/>
          <w:sz w:val="28"/>
          <w:szCs w:val="28"/>
        </w:rPr>
      </w:pPr>
      <w:r>
        <w:rPr>
          <w:rFonts w:ascii="宋体" w:hAnsi="宋体" w:hint="eastAsia"/>
          <w:b/>
          <w:bCs/>
          <w:color w:val="000000"/>
          <w:sz w:val="28"/>
          <w:szCs w:val="28"/>
        </w:rPr>
        <w:t>一、</w:t>
      </w:r>
      <w:r>
        <w:rPr>
          <w:rFonts w:ascii="宋体" w:hAnsi="宋体"/>
          <w:b/>
          <w:bCs/>
          <w:color w:val="000000"/>
          <w:sz w:val="28"/>
          <w:szCs w:val="28"/>
        </w:rPr>
        <w:t>技术领域</w:t>
      </w:r>
    </w:p>
    <w:p w14:paraId="5152E81A" w14:textId="7DDBFBC6" w:rsidR="005A2BE5" w:rsidRDefault="007B76C3">
      <w:pPr>
        <w:adjustRightInd w:val="0"/>
        <w:snapToGrid w:val="0"/>
        <w:spacing w:line="360" w:lineRule="auto"/>
        <w:ind w:firstLineChars="200" w:firstLine="560"/>
        <w:rPr>
          <w:rFonts w:ascii="仿宋" w:eastAsia="仿宋" w:hAnsi="仿宋" w:cs="仿宋" w:hint="eastAsia"/>
          <w:sz w:val="28"/>
          <w:szCs w:val="28"/>
        </w:rPr>
      </w:pPr>
      <w:r w:rsidRPr="007B76C3">
        <w:rPr>
          <w:rFonts w:ascii="仿宋" w:eastAsia="仿宋" w:hAnsi="仿宋" w:cs="仿宋"/>
          <w:sz w:val="28"/>
          <w:szCs w:val="28"/>
        </w:rPr>
        <w:t>电力电子</w:t>
      </w:r>
      <w:r>
        <w:rPr>
          <w:rFonts w:ascii="仿宋" w:eastAsia="仿宋" w:hAnsi="仿宋" w:cs="仿宋" w:hint="eastAsia"/>
          <w:sz w:val="28"/>
          <w:szCs w:val="28"/>
        </w:rPr>
        <w:t>技术</w:t>
      </w:r>
    </w:p>
    <w:p w14:paraId="33E852AB" w14:textId="77777777" w:rsidR="005A2BE5" w:rsidRDefault="005A2BE5">
      <w:pPr>
        <w:adjustRightInd w:val="0"/>
        <w:snapToGrid w:val="0"/>
        <w:spacing w:line="400" w:lineRule="exact"/>
        <w:rPr>
          <w:rFonts w:ascii="宋体" w:hAnsi="宋体" w:hint="eastAsia"/>
          <w:b/>
          <w:bCs/>
          <w:color w:val="000000"/>
          <w:szCs w:val="21"/>
        </w:rPr>
      </w:pPr>
    </w:p>
    <w:p w14:paraId="4CB0D60A" w14:textId="77777777" w:rsidR="005A2BE5" w:rsidRDefault="00000000">
      <w:pPr>
        <w:adjustRightInd w:val="0"/>
        <w:snapToGrid w:val="0"/>
        <w:spacing w:line="400" w:lineRule="exact"/>
        <w:rPr>
          <w:rFonts w:ascii="宋体" w:hAnsi="宋体" w:hint="eastAsia"/>
          <w:color w:val="000000"/>
          <w:sz w:val="28"/>
          <w:szCs w:val="28"/>
        </w:rPr>
      </w:pPr>
      <w:r>
        <w:rPr>
          <w:rFonts w:ascii="宋体" w:hAnsi="宋体" w:hint="eastAsia"/>
          <w:b/>
          <w:bCs/>
          <w:color w:val="000000"/>
          <w:sz w:val="28"/>
          <w:szCs w:val="28"/>
        </w:rPr>
        <w:t>二、</w:t>
      </w:r>
      <w:r>
        <w:rPr>
          <w:rFonts w:ascii="宋体" w:hAnsi="宋体"/>
          <w:b/>
          <w:bCs/>
          <w:color w:val="000000"/>
          <w:sz w:val="28"/>
          <w:szCs w:val="28"/>
        </w:rPr>
        <w:t>背景技术</w:t>
      </w:r>
    </w:p>
    <w:p w14:paraId="35240F9B" w14:textId="77777777" w:rsidR="005A2BE5" w:rsidRDefault="005A2BE5">
      <w:pPr>
        <w:adjustRightInd w:val="0"/>
        <w:snapToGrid w:val="0"/>
        <w:spacing w:line="360" w:lineRule="auto"/>
        <w:rPr>
          <w:rFonts w:ascii="宋体" w:hAnsi="宋体" w:hint="eastAsia"/>
          <w:b/>
          <w:bCs/>
          <w:color w:val="000000"/>
          <w:szCs w:val="21"/>
        </w:rPr>
      </w:pPr>
    </w:p>
    <w:p w14:paraId="444D326F" w14:textId="65A1FC4E" w:rsidR="005A2BE5" w:rsidRDefault="007B76C3">
      <w:pPr>
        <w:adjustRightInd w:val="0"/>
        <w:snapToGrid w:val="0"/>
        <w:spacing w:line="360" w:lineRule="auto"/>
        <w:ind w:firstLineChars="200" w:firstLine="560"/>
        <w:rPr>
          <w:rFonts w:ascii="仿宋" w:eastAsia="仿宋" w:hAnsi="仿宋" w:cs="仿宋" w:hint="eastAsia"/>
          <w:sz w:val="28"/>
          <w:szCs w:val="28"/>
        </w:rPr>
      </w:pPr>
      <w:r w:rsidRPr="007B76C3">
        <w:rPr>
          <w:rFonts w:ascii="仿宋" w:eastAsia="仿宋" w:hAnsi="仿宋" w:cs="仿宋"/>
          <w:sz w:val="28"/>
          <w:szCs w:val="28"/>
        </w:rPr>
        <w:t>随着分布式能源的广泛接入和直流负荷（如电动汽车充电桩、数据中心）的快速增长，作为能源互联网核心装备的能量路由器得到了广泛关注。能源系统正从</w:t>
      </w:r>
      <w:proofErr w:type="gramStart"/>
      <w:r w:rsidRPr="007B76C3">
        <w:rPr>
          <w:rFonts w:ascii="仿宋" w:eastAsia="仿宋" w:hAnsi="仿宋" w:cs="仿宋"/>
          <w:sz w:val="28"/>
          <w:szCs w:val="28"/>
        </w:rPr>
        <w:t>"源</w:t>
      </w:r>
      <w:proofErr w:type="gramEnd"/>
      <w:r w:rsidRPr="007B76C3">
        <w:rPr>
          <w:rFonts w:ascii="仿宋" w:eastAsia="仿宋" w:hAnsi="仿宋" w:cs="仿宋"/>
          <w:sz w:val="28"/>
          <w:szCs w:val="28"/>
        </w:rPr>
        <w:t>随荷</w:t>
      </w:r>
      <w:proofErr w:type="gramStart"/>
      <w:r w:rsidRPr="007B76C3">
        <w:rPr>
          <w:rFonts w:ascii="仿宋" w:eastAsia="仿宋" w:hAnsi="仿宋" w:cs="仿宋"/>
          <w:sz w:val="28"/>
          <w:szCs w:val="28"/>
        </w:rPr>
        <w:t>动"</w:t>
      </w:r>
      <w:proofErr w:type="gramEnd"/>
      <w:r w:rsidRPr="007B76C3">
        <w:rPr>
          <w:rFonts w:ascii="仿宋" w:eastAsia="仿宋" w:hAnsi="仿宋" w:cs="仿宋"/>
          <w:sz w:val="28"/>
          <w:szCs w:val="28"/>
        </w:rPr>
        <w:t>向</w:t>
      </w:r>
      <w:proofErr w:type="gramStart"/>
      <w:r w:rsidRPr="007B76C3">
        <w:rPr>
          <w:rFonts w:ascii="仿宋" w:eastAsia="仿宋" w:hAnsi="仿宋" w:cs="仿宋"/>
          <w:sz w:val="28"/>
          <w:szCs w:val="28"/>
        </w:rPr>
        <w:t>"源</w:t>
      </w:r>
      <w:proofErr w:type="gramEnd"/>
      <w:r w:rsidRPr="007B76C3">
        <w:rPr>
          <w:rFonts w:ascii="仿宋" w:eastAsia="仿宋" w:hAnsi="仿宋" w:cs="仿宋"/>
          <w:sz w:val="28"/>
          <w:szCs w:val="28"/>
        </w:rPr>
        <w:t>网荷储协同</w:t>
      </w:r>
      <w:proofErr w:type="gramStart"/>
      <w:r w:rsidRPr="007B76C3">
        <w:rPr>
          <w:rFonts w:ascii="仿宋" w:eastAsia="仿宋" w:hAnsi="仿宋" w:cs="仿宋"/>
          <w:sz w:val="28"/>
          <w:szCs w:val="28"/>
        </w:rPr>
        <w:t>互动"</w:t>
      </w:r>
      <w:proofErr w:type="gramEnd"/>
      <w:r w:rsidRPr="007B76C3">
        <w:rPr>
          <w:rFonts w:ascii="仿宋" w:eastAsia="仿宋" w:hAnsi="仿宋" w:cs="仿宋"/>
          <w:sz w:val="28"/>
          <w:szCs w:val="28"/>
        </w:rPr>
        <w:t>根本性转变，新能源的大规模替代与多形态能源的深度融合，对能量变换设备的高效性、灵活性与智能化水平提出了前所未有的挑战。因此，面向高比例新能源接入与多端口复杂工况的电能路由器拓扑及能量高效调控策略成了未来能源互联网的技术关键。在此背景下，多端口电力电子电能路由器拓扑及其控制方法开始受到关注。然而，面对当前多端口复杂工况的功能需求，现有拓扑和调控技术仍存在以下问题：扩展多端口时集成度不足、硬件成本较高、物理体积显著增大，以及多端口之间的功率耦合复杂等。现有方案中，端口数量扩展需增加变换级会导致变换器体积显著增大、集成度低导致功率密度低和成本高、多级变换结构导致损耗大，且灵活性低、场景适配能力差。为此，能实现多端口之间能量的高效传输的新型拓扑及其控制方法，成为当前亟需解决的关键技术问题。</w:t>
      </w:r>
    </w:p>
    <w:p w14:paraId="5EF69CBA" w14:textId="77777777" w:rsidR="005A2BE5" w:rsidRDefault="005A2BE5">
      <w:pPr>
        <w:adjustRightInd w:val="0"/>
        <w:snapToGrid w:val="0"/>
        <w:spacing w:line="360" w:lineRule="auto"/>
        <w:rPr>
          <w:rFonts w:ascii="宋体" w:hAnsi="宋体" w:hint="eastAsia"/>
          <w:b/>
          <w:bCs/>
          <w:color w:val="000000"/>
          <w:szCs w:val="21"/>
        </w:rPr>
      </w:pPr>
    </w:p>
    <w:p w14:paraId="15554054" w14:textId="77777777" w:rsidR="005A2BE5" w:rsidRDefault="00000000">
      <w:pPr>
        <w:adjustRightInd w:val="0"/>
        <w:snapToGrid w:val="0"/>
        <w:spacing w:line="360" w:lineRule="auto"/>
        <w:rPr>
          <w:rFonts w:ascii="宋体" w:hAnsi="宋体" w:hint="eastAsia"/>
          <w:b/>
          <w:bCs/>
          <w:color w:val="000000"/>
          <w:sz w:val="28"/>
          <w:szCs w:val="28"/>
        </w:rPr>
      </w:pPr>
      <w:r>
        <w:rPr>
          <w:rFonts w:ascii="宋体" w:hAnsi="宋体" w:hint="eastAsia"/>
          <w:b/>
          <w:bCs/>
          <w:color w:val="000000"/>
          <w:sz w:val="28"/>
          <w:szCs w:val="28"/>
        </w:rPr>
        <w:t>三、发明</w:t>
      </w:r>
      <w:r>
        <w:rPr>
          <w:rFonts w:ascii="宋体" w:hAnsi="宋体"/>
          <w:b/>
          <w:bCs/>
          <w:color w:val="000000"/>
          <w:sz w:val="28"/>
          <w:szCs w:val="28"/>
        </w:rPr>
        <w:t>内容</w:t>
      </w:r>
    </w:p>
    <w:p w14:paraId="29A9C941" w14:textId="094716C6" w:rsidR="005A2BE5" w:rsidRDefault="007B76C3">
      <w:pPr>
        <w:adjustRightInd w:val="0"/>
        <w:snapToGrid w:val="0"/>
        <w:spacing w:line="360" w:lineRule="auto"/>
        <w:ind w:firstLineChars="200" w:firstLine="560"/>
        <w:rPr>
          <w:rFonts w:ascii="Times New Roman" w:eastAsia="仿宋" w:hAnsi="Times New Roman" w:cs="Times New Roman"/>
          <w:sz w:val="28"/>
          <w:szCs w:val="28"/>
        </w:rPr>
      </w:pPr>
      <w:r w:rsidRPr="007B76C3">
        <w:rPr>
          <w:rFonts w:ascii="仿宋" w:eastAsia="仿宋" w:hAnsi="仿宋" w:cs="仿宋"/>
          <w:sz w:val="28"/>
          <w:szCs w:val="28"/>
        </w:rPr>
        <w:lastRenderedPageBreak/>
        <w:t>本发明的目的在于提供四端口直流电能路由器拓扑及其控制方法，解决现有技术的多端口直流变换器集成度不足、硬件成本高、体积大、多端口功率耦合复杂、灵活性低、场景适配能力差的问题。为实现上述目的，第一方面，本发明提供了四端口直流电能路由器拓扑，包括高压直流端口、中压直流端口、第一低压直流端口、第二低压直流端口、三相高频变压器、第一单相高频变压器和第二单相高频变压器；所述高压直流端口，用于连接高压直流电网；所述中压直流端口，用于连接储能系统或中压直流负荷；所述第一低压直流端口，用于接入分布式电源或可变电压等级的直流负荷；所述第二低压直流端口，用于接入分布式电源或可变电压等级的直流负荷；所述三相高频变压器，用于实现所述高压直流端口与所述中压直流端口之间的能量双向隔离转换；所述第一单相高频变压器，用于实现所述高压直流端口与所述第一低压直流端口之间的能量双向隔离转换；所述第二单相高频变压器，用于实现所述中压直流端口与所述第二低压直流端口之间的能量双向隔离转换。其中，所述高压直流端口包括第一储能电容组和高压侧三相全桥电路，所述第一储能电容组包括两个串联连接的储能电容，所述高压侧三相全桥电路的直流侧连接至所述第一储能电容组的两端，所述高压侧三相全桥电路的交流侧连接至所述三相高频变压器的原边绕组。其中，所述中压直流端口包括第二储能电容组和中压侧三相全桥电路，所述第二储能电容组包括两个串联连接的储能电容，所述中压侧三相全桥电路的直流侧连接至所述第二储能电容组的两端，所述中压侧三相全桥电路的交流侧连接至所述三相高频变压器的副边绕组其中，所述第一低压直流端口包括第一单相全桥电路，所述第一单相全桥电路的直流侧连接至第一低压直流母线，所述第一单相全桥电路的交流侧连接至所述第一单相高频变压器的副边绕组。其中，</w:t>
      </w:r>
      <w:r w:rsidRPr="007B76C3">
        <w:rPr>
          <w:rFonts w:ascii="仿宋" w:eastAsia="仿宋" w:hAnsi="仿宋" w:cs="仿宋"/>
          <w:sz w:val="28"/>
          <w:szCs w:val="28"/>
        </w:rPr>
        <w:lastRenderedPageBreak/>
        <w:t>所述第二低压直流端口包括第二单相全桥电路，所述第二单相全桥电路的直流侧连接至第二低压直流母线，所述第二单相全桥电路的交流侧连接至所述第二单相高频变压器的副边绕组。第二方面，四端口直流电能路由器拓扑的控制方法，用于第一方面所述的四端口直流电能路由器拓扑，包括以下步骤：S1：生成基准PWM信号并施加于高压侧三相全桥电路，使其在三相高频变压器原边绕组上合成三相阶梯电压波形；S2：以高压侧三相全桥电路的PWM驱动信号为基准，对中压侧三相全桥电路的PWM驱动信号施加第一移相角，通过调节第一移相角的正负和大小，控制高压直流端口与中压直流端口之间的能量传输方向和功率大小；S3：以高压侧三相全桥电路的PWM驱动信号在高压侧中间抽头产生的三倍频方波电压为基准，对第一单相全桥电路的PWM驱动信号施加第二移相角，通过调节第二移相角的正负和大小，控制高压直流端口与第一低压直流端口之间的能量传输方向和功率大小；S4：以中压侧三相全桥电路的PWM驱动信号在中压侧中间抽头产生的三倍频方波电压为基准，对第二单相全桥电路的PWM驱动信号施加第三移相角，通过调节第三移相角的正负和大小，控制中压直流端口与第二低压直流端口之间的能量传输方向和功率大小；S5：当能量需要在中压直流端口与第一低压直流端口之间传输时，依次执行S2和S3，或反向依次执行S3和S2；S6：当能量需要在高压直流端口与第二低压直流端口之间传输时，依次执行S2和S4，或反向依次执行S4和S2；S7：当能量需要在第一低压直流端口与第二低压直流端口之间传输时，依次执行S3、S2和S4，或反向依次执行S4、S2和S3。本发明的四端口直流电能路由器拓扑，（1）减少变换级数，实现多个直流端口(高压、中压、</w:t>
      </w:r>
      <w:proofErr w:type="gramStart"/>
      <w:r w:rsidRPr="007B76C3">
        <w:rPr>
          <w:rFonts w:ascii="仿宋" w:eastAsia="仿宋" w:hAnsi="仿宋" w:cs="仿宋"/>
          <w:sz w:val="28"/>
          <w:szCs w:val="28"/>
        </w:rPr>
        <w:t>低压)</w:t>
      </w:r>
      <w:proofErr w:type="gramEnd"/>
      <w:r w:rsidRPr="007B76C3">
        <w:rPr>
          <w:rFonts w:ascii="仿宋" w:eastAsia="仿宋" w:hAnsi="仿宋" w:cs="仿宋"/>
          <w:sz w:val="28"/>
          <w:szCs w:val="28"/>
        </w:rPr>
        <w:t>任意两端口间之间的双向功率传输，适用于光储充一体化、直流微电网、数据中心供电等复杂场景，满足复杂场</w:t>
      </w:r>
      <w:r w:rsidRPr="007B76C3">
        <w:rPr>
          <w:rFonts w:ascii="仿宋" w:eastAsia="仿宋" w:hAnsi="仿宋" w:cs="仿宋"/>
          <w:sz w:val="28"/>
          <w:szCs w:val="28"/>
        </w:rPr>
        <w:lastRenderedPageBreak/>
        <w:t>景下的多能源协同调控需求；（2）通过复用三相桥在变压器的中间抽头输出的（减小变压器和滤波器体积），与副边全桥方波电压移相运行实现双向调控。分别调节各端口对应全桥电路的移相角，即可独立控制各端口的传输功率大小与方向，无需复杂的解耦控制策略，控制方法简单、易于实现；（3）通过变压器原、副边绕组设置中间抽头分别接入两个单相全桥电路，将两个低压端口与高压、中压端口进行磁路解耦，有效抑制了多端口之间的功率耦合干扰，避免了现有技术中因端口耦合导致的系统振荡问题。（4）通过检测各低压端口对应变压器绕组的原、副边电压幅值之比，动态调整变压器有效匝数比或通过移相角补偿，使变换器在宽电压范围内保持高效运行，解决了现有技术因电压波动导致软开关失效、效率骤降的问题。（5）当某一低压端口发生故障时，可通过封锁对应单相全桥的PWM信号实现故障隔离，其余三个端口仍可正常运行，提高系统的可靠性与可用性。</w:t>
      </w:r>
    </w:p>
    <w:sectPr w:rsidR="005A2BE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02E88" w14:textId="77777777" w:rsidR="00954537" w:rsidRDefault="00954537" w:rsidP="007B76C3">
      <w:r>
        <w:separator/>
      </w:r>
    </w:p>
  </w:endnote>
  <w:endnote w:type="continuationSeparator" w:id="0">
    <w:p w14:paraId="47908B1B" w14:textId="77777777" w:rsidR="00954537" w:rsidRDefault="00954537" w:rsidP="007B7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CCC90" w14:textId="77777777" w:rsidR="00954537" w:rsidRDefault="00954537" w:rsidP="007B76C3">
      <w:r>
        <w:separator/>
      </w:r>
    </w:p>
  </w:footnote>
  <w:footnote w:type="continuationSeparator" w:id="0">
    <w:p w14:paraId="6BC459C0" w14:textId="77777777" w:rsidR="00954537" w:rsidRDefault="00954537" w:rsidP="007B76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Dc5MWZlNTA1YzQ5NjQ2MWVkYjFkMjI4OTFkMDc4NDQifQ=="/>
  </w:docVars>
  <w:rsids>
    <w:rsidRoot w:val="007E496D"/>
    <w:rsid w:val="00086FE4"/>
    <w:rsid w:val="001E206D"/>
    <w:rsid w:val="002471E4"/>
    <w:rsid w:val="00360234"/>
    <w:rsid w:val="00371580"/>
    <w:rsid w:val="003E0AB2"/>
    <w:rsid w:val="003E2E4B"/>
    <w:rsid w:val="00421187"/>
    <w:rsid w:val="005A2BE5"/>
    <w:rsid w:val="005A713B"/>
    <w:rsid w:val="00694649"/>
    <w:rsid w:val="00712815"/>
    <w:rsid w:val="00760859"/>
    <w:rsid w:val="007B76C3"/>
    <w:rsid w:val="007E496D"/>
    <w:rsid w:val="00855292"/>
    <w:rsid w:val="00954537"/>
    <w:rsid w:val="00A44548"/>
    <w:rsid w:val="00B07115"/>
    <w:rsid w:val="00B30344"/>
    <w:rsid w:val="00DB6719"/>
    <w:rsid w:val="00EA637E"/>
    <w:rsid w:val="00F44AE2"/>
    <w:rsid w:val="03DC4796"/>
    <w:rsid w:val="143F3862"/>
    <w:rsid w:val="170572C0"/>
    <w:rsid w:val="178C749F"/>
    <w:rsid w:val="1DFC2844"/>
    <w:rsid w:val="2BC84A3E"/>
    <w:rsid w:val="36B62551"/>
    <w:rsid w:val="387E494D"/>
    <w:rsid w:val="3B306A7D"/>
    <w:rsid w:val="40EC29F2"/>
    <w:rsid w:val="43CC72AC"/>
    <w:rsid w:val="60812F42"/>
    <w:rsid w:val="717C0A5F"/>
    <w:rsid w:val="75A55B0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DB51C4"/>
  <w15:docId w15:val="{B2008432-18D1-4218-97FF-9DCED29FF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Pr>
      <w:rFonts w:ascii="宋体" w:eastAsia="宋体" w:hAnsi="Courier New"/>
      <w:kern w:val="0"/>
      <w:sz w:val="20"/>
      <w:szCs w:val="20"/>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8">
    <w:name w:val="页眉 字符"/>
    <w:basedOn w:val="a0"/>
    <w:link w:val="a7"/>
    <w:uiPriority w:val="99"/>
    <w:qFormat/>
    <w:rPr>
      <w:kern w:val="2"/>
      <w:sz w:val="18"/>
      <w:szCs w:val="18"/>
    </w:rPr>
  </w:style>
  <w:style w:type="character" w:customStyle="1" w:styleId="a6">
    <w:name w:val="页脚 字符"/>
    <w:basedOn w:val="a0"/>
    <w:link w:val="a5"/>
    <w:uiPriority w:val="99"/>
    <w:qFormat/>
    <w:rPr>
      <w:kern w:val="2"/>
      <w:sz w:val="18"/>
      <w:szCs w:val="18"/>
    </w:rPr>
  </w:style>
  <w:style w:type="paragraph" w:customStyle="1" w:styleId="1">
    <w:name w:val="正文1"/>
    <w:qFormat/>
    <w:pPr>
      <w:jc w:val="both"/>
    </w:pPr>
    <w:rPr>
      <w:rFonts w:ascii="Times New Roman" w:eastAsia="宋体" w:hAnsi="Times New Roman" w:cs="Times New Roman"/>
      <w:kern w:val="2"/>
      <w:sz w:val="21"/>
      <w:szCs w:val="21"/>
    </w:rPr>
  </w:style>
  <w:style w:type="character" w:customStyle="1" w:styleId="a4">
    <w:name w:val="纯文本 字符"/>
    <w:basedOn w:val="a0"/>
    <w:link w:val="a3"/>
    <w:qFormat/>
    <w:rPr>
      <w:rFonts w:ascii="宋体" w:eastAsia="宋体" w:hAnsi="Courier New"/>
    </w:rPr>
  </w:style>
  <w:style w:type="character" w:customStyle="1" w:styleId="Char1">
    <w:name w:val="纯文本 Char1"/>
    <w:basedOn w:val="a0"/>
    <w:uiPriority w:val="99"/>
    <w:semiHidden/>
    <w:qFormat/>
    <w:rPr>
      <w:rFonts w:ascii="宋体" w:eastAsia="宋体" w:hAnsi="Courier New" w:cs="Courier New"/>
      <w:kern w:val="2"/>
      <w:sz w:val="21"/>
      <w:szCs w:val="21"/>
    </w:rPr>
  </w:style>
  <w:style w:type="character" w:customStyle="1" w:styleId="zi101">
    <w:name w:val="zi_101"/>
    <w:qFormat/>
    <w:rPr>
      <w:rFonts w:ascii="Verdana" w:hAnsi="Verdana" w:hint="default"/>
      <w:snapToGrid/>
      <w:color w:val="C9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1175</Words>
  <Characters>1269</Characters>
  <Application>Microsoft Office Word</Application>
  <DocSecurity>0</DocSecurity>
  <Lines>70</Lines>
  <Paragraphs>64</Paragraphs>
  <ScaleCrop>false</ScaleCrop>
  <Company>China</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匿名</cp:lastModifiedBy>
  <cp:revision>2</cp:revision>
  <dcterms:created xsi:type="dcterms:W3CDTF">2026-08-06T15:12:00Z</dcterms:created>
  <dcterms:modified xsi:type="dcterms:W3CDTF">2026-08-06T15:12:00Z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DFD38F06794246D580D83685F312C298_13</vt:lpwstr>
  </property>
  <property fmtid="{D5CDD505-2E9C-101B-9397-08002B2CF9AE}" pid="4" name="KSOTemplateDocerSaveRecord">
    <vt:lpwstr>eyJoZGlkIjoiYmM2OTkwYzBhNjhlNTljMjEzNjYxZjZlYmM3NzE4N2MiLCJ1c2VySWQiOiI0OTg1MDY0MzEifQ==</vt:lpwstr>
  </property>
</Properties>
</file>