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903FF2">
      <w:pPr>
        <w:pStyle w:val="5"/>
        <w:spacing w:line="360" w:lineRule="auto"/>
        <w:jc w:val="both"/>
        <w:rPr>
          <w:rFonts w:hint="eastAsia" w:asciiTheme="majorEastAsia" w:hAnsiTheme="majorEastAsia" w:eastAsiaTheme="majorEastAsia"/>
          <w:b/>
          <w:sz w:val="24"/>
          <w:szCs w:val="24"/>
        </w:rPr>
      </w:pPr>
      <w:r>
        <w:rPr>
          <w:rFonts w:hint="eastAsia"/>
          <w:b/>
          <w:bCs/>
          <w:sz w:val="24"/>
          <w:szCs w:val="24"/>
        </w:rPr>
        <w:t>附件：</w:t>
      </w:r>
      <w:r>
        <w:rPr>
          <w:rFonts w:hint="eastAsia" w:asciiTheme="majorEastAsia" w:hAnsiTheme="majorEastAsia" w:eastAsiaTheme="majorEastAsia"/>
          <w:b/>
          <w:sz w:val="24"/>
          <w:szCs w:val="24"/>
        </w:rPr>
        <w:t>拟转让专利简介</w:t>
      </w:r>
    </w:p>
    <w:p w14:paraId="46EDE5FB">
      <w:pPr>
        <w:adjustRightInd w:val="0"/>
        <w:snapToGrid w:val="0"/>
        <w:spacing w:line="400" w:lineRule="exact"/>
        <w:rPr>
          <w:rFonts w:ascii="宋体" w:hAnsi="宋体"/>
          <w:b/>
          <w:bCs/>
          <w:color w:val="000000"/>
          <w:sz w:val="21"/>
          <w:szCs w:val="21"/>
        </w:rPr>
      </w:pPr>
      <w:r>
        <w:rPr>
          <w:rFonts w:hint="eastAsia" w:ascii="宋体" w:hAnsi="宋体"/>
          <w:b/>
          <w:bCs/>
          <w:color w:val="000000"/>
          <w:sz w:val="21"/>
          <w:szCs w:val="21"/>
          <w:lang w:val="en-US" w:eastAsia="zh-CN"/>
        </w:rPr>
        <w:t>一、</w:t>
      </w:r>
      <w:r>
        <w:rPr>
          <w:rFonts w:ascii="宋体" w:hAnsi="宋体"/>
          <w:b/>
          <w:bCs/>
          <w:color w:val="000000"/>
          <w:sz w:val="21"/>
          <w:szCs w:val="21"/>
        </w:rPr>
        <w:t>技术领域</w:t>
      </w:r>
    </w:p>
    <w:p w14:paraId="405DA633">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b w:val="0"/>
          <w:bCs w:val="0"/>
          <w:color w:val="000000"/>
          <w:sz w:val="21"/>
          <w:szCs w:val="21"/>
        </w:rPr>
      </w:pPr>
      <w:r>
        <w:rPr>
          <w:rFonts w:hint="eastAsia" w:ascii="宋体" w:hAnsi="宋体"/>
          <w:b w:val="0"/>
          <w:bCs w:val="0"/>
          <w:color w:val="000000"/>
          <w:sz w:val="21"/>
          <w:szCs w:val="21"/>
        </w:rPr>
        <w:t>本发明涉及通信领域，具体的涉及一种具有能量收集功能的基站以及基站间能量协作控制方法。</w:t>
      </w:r>
    </w:p>
    <w:p w14:paraId="4630DE45">
      <w:pPr>
        <w:adjustRightInd w:val="0"/>
        <w:snapToGrid w:val="0"/>
        <w:spacing w:line="400" w:lineRule="exact"/>
        <w:rPr>
          <w:rFonts w:ascii="宋体" w:hAnsi="宋体"/>
          <w:b/>
          <w:bCs/>
          <w:color w:val="000000"/>
          <w:sz w:val="21"/>
          <w:szCs w:val="21"/>
        </w:rPr>
      </w:pPr>
    </w:p>
    <w:p w14:paraId="32C9C072">
      <w:pPr>
        <w:keepNext w:val="0"/>
        <w:keepLines w:val="0"/>
        <w:pageBreakBefore w:val="0"/>
        <w:widowControl w:val="0"/>
        <w:kinsoku/>
        <w:wordWrap/>
        <w:overflowPunct/>
        <w:topLinePunct w:val="0"/>
        <w:autoSpaceDE/>
        <w:autoSpaceDN/>
        <w:bidi w:val="0"/>
        <w:adjustRightInd w:val="0"/>
        <w:snapToGrid w:val="0"/>
        <w:spacing w:after="157" w:afterLines="50" w:line="400" w:lineRule="exact"/>
        <w:textAlignment w:val="auto"/>
        <w:rPr>
          <w:rFonts w:ascii="宋体" w:hAnsi="宋体"/>
          <w:color w:val="000000"/>
          <w:sz w:val="21"/>
          <w:szCs w:val="21"/>
        </w:rPr>
      </w:pPr>
      <w:r>
        <w:rPr>
          <w:rFonts w:hint="eastAsia" w:ascii="宋体" w:hAnsi="宋体"/>
          <w:b/>
          <w:bCs/>
          <w:color w:val="000000"/>
          <w:sz w:val="21"/>
          <w:szCs w:val="21"/>
          <w:lang w:val="en-US" w:eastAsia="zh-CN"/>
        </w:rPr>
        <w:t>二、</w:t>
      </w:r>
      <w:r>
        <w:rPr>
          <w:rFonts w:ascii="宋体" w:hAnsi="宋体"/>
          <w:b/>
          <w:bCs/>
          <w:color w:val="000000"/>
          <w:sz w:val="21"/>
          <w:szCs w:val="21"/>
        </w:rPr>
        <w:t>背景技术</w:t>
      </w:r>
    </w:p>
    <w:p w14:paraId="74E6D86E">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b w:val="0"/>
          <w:bCs w:val="0"/>
          <w:color w:val="000000"/>
          <w:sz w:val="21"/>
          <w:szCs w:val="21"/>
        </w:rPr>
      </w:pPr>
      <w:r>
        <w:rPr>
          <w:rFonts w:hint="eastAsia" w:ascii="宋体" w:hAnsi="宋体"/>
          <w:b w:val="0"/>
          <w:bCs w:val="0"/>
          <w:color w:val="000000"/>
          <w:sz w:val="21"/>
          <w:szCs w:val="21"/>
        </w:rPr>
        <w:t>当今世界正面临着日益严峻的能源问题和环境问题，其中信息通信技术产业的碳排放及能耗所占的比例迅速增长，无线通信系统的能耗比例高居不下，实现无线通信系统的节能减排刻不容缓。能量收集技术，能够从周围环境中收集可再生清洁能源，能量收集技术作为新兴技术，能从周围环境中收集免费的能量，该技术应用于无线通信系统中，能减少当前通信系统对化石燃料的依赖，同时也在一定程度上减轻对环境的污染，得到了通信界的广泛关注。</w:t>
      </w:r>
    </w:p>
    <w:p w14:paraId="25FD1E5E">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b w:val="0"/>
          <w:bCs w:val="0"/>
          <w:color w:val="000000"/>
          <w:sz w:val="21"/>
          <w:szCs w:val="21"/>
        </w:rPr>
      </w:pPr>
      <w:r>
        <w:rPr>
          <w:rFonts w:hint="eastAsia" w:ascii="宋体" w:hAnsi="宋体"/>
          <w:b w:val="0"/>
          <w:bCs w:val="0"/>
          <w:color w:val="000000"/>
          <w:sz w:val="21"/>
          <w:szCs w:val="21"/>
        </w:rPr>
        <w:t>可再生源（如太阳能、风能）</w:t>
      </w:r>
      <w:r>
        <w:rPr>
          <w:rFonts w:hint="eastAsia" w:ascii="宋体" w:hAnsi="宋体"/>
          <w:b w:val="0"/>
          <w:bCs w:val="0"/>
          <w:color w:val="000000"/>
          <w:sz w:val="21"/>
          <w:szCs w:val="21"/>
          <w:lang w:eastAsia="zh-CN"/>
        </w:rPr>
        <w:t>发电出力</w:t>
      </w:r>
      <w:r>
        <w:rPr>
          <w:rFonts w:hint="eastAsia" w:ascii="宋体" w:hAnsi="宋体"/>
          <w:b w:val="0"/>
          <w:bCs w:val="0"/>
          <w:color w:val="000000"/>
          <w:sz w:val="21"/>
          <w:szCs w:val="21"/>
        </w:rPr>
        <w:t>容易受到天气、气候等因素的影响，因此具有时变性和间歇性，为保证大功率基站稳定可靠的运行，可再生源和电网混合供电的基站引起工业界和学术界的极大兴趣。未来5G网络中，支持小区服务和异构网络的各基站被密集部署，为了减轻功耗、保护生态环境，优先使用收集的能量、电网供电作为必要补充的混合供电网络将起到重要作用。由于不同基站所处地理位置和环境的差异，某些基站因蓄电池容量有限导致的收集的能量无法被容纳而浪费，同时某些基站因任务繁重以致能量消耗过多或因收集的能量过少而不能满足自身要求，从而需要从电网购买额外的电量。</w:t>
      </w:r>
    </w:p>
    <w:p w14:paraId="5C044E8D">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b w:val="0"/>
          <w:bCs w:val="0"/>
          <w:color w:val="000000"/>
          <w:sz w:val="21"/>
          <w:szCs w:val="21"/>
        </w:rPr>
      </w:pPr>
      <w:r>
        <w:rPr>
          <w:rFonts w:hint="eastAsia" w:ascii="宋体" w:hAnsi="宋体"/>
          <w:b w:val="0"/>
          <w:bCs w:val="0"/>
          <w:color w:val="000000"/>
          <w:sz w:val="21"/>
          <w:szCs w:val="21"/>
        </w:rPr>
        <w:t>此外随着经济快速增长和人民生活水平的提高，社会生活对电力需求度越来越高，电网的负荷随着用户在不同时段对电量需求的变化而相应的波动，为了平滑电网负荷，未来电网将采用分时电价，电价可在相对较小的时间尺度上（如每小时）调整，以作为电网负荷变化的响应。如用电高峰期（早上上班前和晚上下班后）电网负荷巨大，电网需要承担高于平均负荷的额外压力，所以电价相对较高；而在深夜或凌晨的用电低谷时段，电网的负荷低于平均负荷，电网则需容纳较高的电量，电价相对较低。若基站需要从电网购买额外电量时而电价又恰好处于最高，则会增加基站的购电成本。</w:t>
      </w:r>
    </w:p>
    <w:p w14:paraId="4CFDB45B">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b w:val="0"/>
          <w:bCs w:val="0"/>
          <w:color w:val="000000"/>
          <w:sz w:val="21"/>
          <w:szCs w:val="21"/>
        </w:rPr>
      </w:pPr>
      <w:bookmarkStart w:id="0" w:name="_GoBack"/>
      <w:bookmarkEnd w:id="0"/>
    </w:p>
    <w:p w14:paraId="36207D82">
      <w:pPr>
        <w:numPr>
          <w:ilvl w:val="0"/>
          <w:numId w:val="1"/>
        </w:numPr>
        <w:adjustRightInd w:val="0"/>
        <w:snapToGrid w:val="0"/>
        <w:spacing w:line="360" w:lineRule="auto"/>
        <w:rPr>
          <w:rFonts w:ascii="宋体" w:hAnsi="宋体"/>
          <w:b/>
          <w:bCs/>
          <w:color w:val="000000"/>
          <w:sz w:val="21"/>
          <w:szCs w:val="21"/>
        </w:rPr>
      </w:pPr>
      <w:r>
        <w:rPr>
          <w:rFonts w:hint="eastAsia" w:ascii="宋体" w:hAnsi="宋体"/>
          <w:b/>
          <w:bCs/>
          <w:color w:val="000000"/>
          <w:sz w:val="21"/>
          <w:szCs w:val="21"/>
        </w:rPr>
        <w:t>发明</w:t>
      </w:r>
      <w:r>
        <w:rPr>
          <w:rFonts w:ascii="宋体" w:hAnsi="宋体"/>
          <w:b/>
          <w:bCs/>
          <w:color w:val="000000"/>
          <w:sz w:val="21"/>
          <w:szCs w:val="21"/>
        </w:rPr>
        <w:t>内容</w:t>
      </w:r>
    </w:p>
    <w:p w14:paraId="7ADC49F6">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b w:val="0"/>
          <w:bCs w:val="0"/>
          <w:color w:val="000000"/>
          <w:sz w:val="21"/>
          <w:szCs w:val="21"/>
          <w:lang w:eastAsia="zh-CN"/>
        </w:rPr>
      </w:pPr>
      <w:r>
        <w:rPr>
          <w:rFonts w:hint="eastAsia" w:ascii="宋体" w:hAnsi="宋体"/>
          <w:b w:val="0"/>
          <w:bCs w:val="0"/>
          <w:color w:val="000000"/>
          <w:sz w:val="21"/>
          <w:szCs w:val="21"/>
        </w:rPr>
        <w:t>本发明公开了一种具有能量存储和能量协作功能的基站及能量存储和能量协作的动态控制方法</w:t>
      </w:r>
      <w:r>
        <w:rPr>
          <w:rFonts w:hint="eastAsia" w:ascii="宋体" w:hAnsi="宋体"/>
          <w:b w:val="0"/>
          <w:bCs w:val="0"/>
          <w:color w:val="000000"/>
          <w:sz w:val="21"/>
          <w:szCs w:val="21"/>
          <w:lang w:eastAsia="zh-CN"/>
        </w:rPr>
        <w:t>。</w:t>
      </w:r>
      <w:r>
        <w:rPr>
          <w:rFonts w:hint="eastAsia" w:ascii="宋体" w:hAnsi="宋体"/>
          <w:b w:val="0"/>
          <w:bCs w:val="0"/>
          <w:color w:val="000000"/>
          <w:sz w:val="21"/>
          <w:szCs w:val="21"/>
        </w:rPr>
        <w:t>每个基站与智能电网连接，并配置有能量收集装置、蓄电池以及控制器，所述能量收集器能根据所处的环境釆用合适的能量收集方式并将收集能量存储在所述的蓄电池中供基站使用</w:t>
      </w:r>
      <w:r>
        <w:rPr>
          <w:rFonts w:hint="eastAsia" w:ascii="宋体" w:hAnsi="宋体"/>
          <w:b w:val="0"/>
          <w:bCs w:val="0"/>
          <w:color w:val="000000"/>
          <w:sz w:val="21"/>
          <w:szCs w:val="21"/>
          <w:lang w:eastAsia="zh-CN"/>
        </w:rPr>
        <w:t>。</w:t>
      </w:r>
      <w:r>
        <w:rPr>
          <w:rFonts w:hint="eastAsia" w:ascii="宋体" w:hAnsi="宋体"/>
          <w:b w:val="0"/>
          <w:bCs w:val="0"/>
          <w:color w:val="000000"/>
          <w:sz w:val="21"/>
          <w:szCs w:val="21"/>
        </w:rPr>
        <w:t>基站可从蓄电池和智能电网同时获取所需的电量，基站能根据智能电网的动态电价、蓄电池当前存储的电量、时变的能量需求和时变的能量收集等情况，通过上述控制器动态地决策从蓄电池和智能电网分别获取多少电量，以及在智能电网电价低时决策从智能电网购买</w:t>
      </w:r>
      <w:r>
        <w:rPr>
          <w:rFonts w:hint="eastAsia" w:ascii="宋体" w:hAnsi="宋体"/>
          <w:b w:val="0"/>
          <w:bCs w:val="0"/>
          <w:color w:val="000000"/>
          <w:sz w:val="21"/>
          <w:szCs w:val="21"/>
          <w:lang w:eastAsia="zh-CN"/>
        </w:rPr>
        <w:t>合适的</w:t>
      </w:r>
      <w:r>
        <w:rPr>
          <w:rFonts w:hint="eastAsia" w:ascii="宋体" w:hAnsi="宋体"/>
          <w:b w:val="0"/>
          <w:bCs w:val="0"/>
          <w:color w:val="000000"/>
          <w:sz w:val="21"/>
          <w:szCs w:val="21"/>
        </w:rPr>
        <w:t>电量存储在蓄电池中，以备将来电价高且收集的能量不满足基站需求时使用，以达到基站从智能电网购电成本最小的目的</w:t>
      </w:r>
      <w:r>
        <w:rPr>
          <w:rFonts w:hint="eastAsia" w:ascii="宋体" w:hAnsi="宋体"/>
          <w:b w:val="0"/>
          <w:bCs w:val="0"/>
          <w:color w:val="000000"/>
          <w:sz w:val="21"/>
          <w:szCs w:val="21"/>
          <w:lang w:eastAsia="zh-CN"/>
        </w:rPr>
        <w:t>。</w:t>
      </w:r>
    </w:p>
    <w:p w14:paraId="666E0ED2">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b w:val="0"/>
          <w:bCs w:val="0"/>
          <w:color w:val="000000"/>
          <w:sz w:val="21"/>
          <w:szCs w:val="21"/>
        </w:rPr>
      </w:pPr>
      <w:r>
        <w:rPr>
          <w:rFonts w:hint="eastAsia" w:ascii="宋体" w:hAnsi="宋体"/>
          <w:b w:val="0"/>
          <w:bCs w:val="0"/>
          <w:color w:val="000000"/>
          <w:sz w:val="21"/>
          <w:szCs w:val="21"/>
        </w:rPr>
        <w:t>此外多个上述基站之间通过已连接的电力载波线分享收集的免费能量，以补足基站地理位置差异带来能量收集不均的问题，提高收集能量的利用率，减少基站从智能电网的电量消耗，降低二氧化碳排放，平滑智能电网负荷，提高智能电网的消纳能力；此外本发明还公开了此类基站的能量存储动态控制方法和基站之间的能量协作动态控制方法，所述的动态控制方法能最大程度地减少基站从智能电网的电量消耗。</w:t>
      </w:r>
    </w:p>
    <w:p w14:paraId="509FC082">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b w:val="0"/>
          <w:bCs w:val="0"/>
          <w:color w:val="000000"/>
          <w:sz w:val="21"/>
          <w:szCs w:val="21"/>
        </w:rPr>
      </w:pPr>
    </w:p>
    <w:p w14:paraId="122BEC0E">
      <w:pPr>
        <w:spacing w:line="360" w:lineRule="auto"/>
        <w:rPr>
          <w:rFonts w:ascii="宋体" w:hAnsi="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79C10B"/>
    <w:multiLevelType w:val="singleLevel"/>
    <w:tmpl w:val="F479C10B"/>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c5MWZlNTA1YzQ5NjQ2MWVkYjFkMjI4OTFkMDc4NDQifQ=="/>
  </w:docVars>
  <w:rsids>
    <w:rsidRoot w:val="007E496D"/>
    <w:rsid w:val="00086FE4"/>
    <w:rsid w:val="001E206D"/>
    <w:rsid w:val="002471E4"/>
    <w:rsid w:val="00360234"/>
    <w:rsid w:val="00371580"/>
    <w:rsid w:val="003E0AB2"/>
    <w:rsid w:val="003E2E4B"/>
    <w:rsid w:val="00421187"/>
    <w:rsid w:val="005A713B"/>
    <w:rsid w:val="00694649"/>
    <w:rsid w:val="00712815"/>
    <w:rsid w:val="00760859"/>
    <w:rsid w:val="007E496D"/>
    <w:rsid w:val="00855292"/>
    <w:rsid w:val="00A44548"/>
    <w:rsid w:val="00B07115"/>
    <w:rsid w:val="00B30344"/>
    <w:rsid w:val="00EA637E"/>
    <w:rsid w:val="00F44AE2"/>
    <w:rsid w:val="170572C0"/>
    <w:rsid w:val="178C749F"/>
    <w:rsid w:val="2BC84A3E"/>
    <w:rsid w:val="387E494D"/>
    <w:rsid w:val="3B306A7D"/>
    <w:rsid w:val="43CC72AC"/>
    <w:rsid w:val="6B8F7C99"/>
    <w:rsid w:val="717C0A5F"/>
    <w:rsid w:val="75A55B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qFormat/>
    <w:uiPriority w:val="0"/>
    <w:rPr>
      <w:rFonts w:ascii="宋体" w:hAnsi="Courier New" w:eastAsia="宋体"/>
      <w:kern w:val="0"/>
      <w:sz w:val="20"/>
      <w:szCs w:val="20"/>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kern w:val="2"/>
      <w:sz w:val="18"/>
      <w:szCs w:val="18"/>
    </w:rPr>
  </w:style>
  <w:style w:type="character" w:customStyle="1" w:styleId="9">
    <w:name w:val="页脚 Char"/>
    <w:basedOn w:val="7"/>
    <w:link w:val="3"/>
    <w:qFormat/>
    <w:uiPriority w:val="99"/>
    <w:rPr>
      <w:kern w:val="2"/>
      <w:sz w:val="18"/>
      <w:szCs w:val="18"/>
    </w:rPr>
  </w:style>
  <w:style w:type="paragraph" w:customStyle="1" w:styleId="10">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1">
    <w:name w:val="纯文本 Char"/>
    <w:basedOn w:val="7"/>
    <w:link w:val="2"/>
    <w:qFormat/>
    <w:uiPriority w:val="0"/>
    <w:rPr>
      <w:rFonts w:ascii="宋体" w:hAnsi="Courier New" w:eastAsia="宋体"/>
    </w:rPr>
  </w:style>
  <w:style w:type="character" w:customStyle="1" w:styleId="12">
    <w:name w:val="纯文本 Char1"/>
    <w:basedOn w:val="7"/>
    <w:semiHidden/>
    <w:qFormat/>
    <w:uiPriority w:val="99"/>
    <w:rPr>
      <w:rFonts w:ascii="宋体" w:hAnsi="Courier New" w:eastAsia="宋体" w:cs="Courier New"/>
      <w:kern w:val="2"/>
      <w:sz w:val="21"/>
      <w:szCs w:val="21"/>
    </w:rPr>
  </w:style>
  <w:style w:type="character" w:customStyle="1" w:styleId="13">
    <w:name w:val="zi_101"/>
    <w:uiPriority w:val="0"/>
    <w:rPr>
      <w:rFonts w:hint="default" w:ascii="Verdana" w:hAnsi="Verdana"/>
      <w:snapToGrid/>
      <w:color w:val="C9000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28</Words>
  <Characters>28</Characters>
  <Lines>7</Lines>
  <Paragraphs>1</Paragraphs>
  <TotalTime>5</TotalTime>
  <ScaleCrop>false</ScaleCrop>
  <LinksUpToDate>false</LinksUpToDate>
  <CharactersWithSpaces>28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2018-10-14T01:54:00Z</dcterms:created>
  <dc:creator>User</dc:creator>
  <cp:lastModifiedBy>柳笛</cp:lastModifiedBy>
  <dcterms:modified xsi:type="dcterms:W3CDTF">2025-09-30T03:13:47Z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D9599A7CF0B841D4B4F01888A4E3D814</vt:lpwstr>
  </property>
  <property fmtid="{D5CDD505-2E9C-101B-9397-08002B2CF9AE}" pid="4" name="KSOTemplateDocerSaveRecord">
    <vt:lpwstr>eyJoZGlkIjoiNjQ5ZjJiMWQ1YzU3Y2VlYjZiNDU5ZjUyYTMxOGU3MWUiLCJ1c2VySWQiOiI3OTE2OTgyMzgifQ==</vt:lpwstr>
  </property>
</Properties>
</file>