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168ED">
      <w:pPr>
        <w:pStyle w:val="5"/>
        <w:spacing w:line="360" w:lineRule="auto"/>
        <w:jc w:val="both"/>
        <w:rPr>
          <w:rFonts w:ascii="Times New Roman" w:hAnsi="Times New Roman" w:cs="Times New Roman"/>
          <w:b/>
          <w:bCs/>
          <w:color w:val="000000" w:themeColor="text1"/>
        </w:rPr>
      </w:pPr>
      <w:r>
        <w:rPr>
          <w:rFonts w:ascii="Times New Roman" w:hAnsi="Times New Roman" w:cs="Times New Roman"/>
          <w:b/>
          <w:bCs/>
          <w:color w:val="000000" w:themeColor="text1"/>
        </w:rPr>
        <w:t>附件：</w:t>
      </w:r>
    </w:p>
    <w:p w14:paraId="36C33F43">
      <w:pPr>
        <w:pStyle w:val="5"/>
        <w:spacing w:line="360" w:lineRule="auto"/>
        <w:jc w:val="center"/>
        <w:rPr>
          <w:rFonts w:ascii="Times New Roman" w:hAnsi="Times New Roman" w:cs="Times New Roman" w:eastAsiaTheme="majorEastAsia"/>
          <w:b/>
          <w:color w:val="000000" w:themeColor="text1"/>
        </w:rPr>
      </w:pPr>
      <w:r>
        <w:rPr>
          <w:rFonts w:ascii="Times New Roman" w:hAnsi="Times New Roman" w:cs="Times New Roman" w:eastAsiaTheme="majorEastAsia"/>
          <w:b/>
          <w:color w:val="000000" w:themeColor="text1"/>
        </w:rPr>
        <w:t>拟转让发明专利简介</w:t>
      </w:r>
    </w:p>
    <w:p w14:paraId="7B5ECE25">
      <w:pPr>
        <w:pStyle w:val="5"/>
        <w:spacing w:line="360" w:lineRule="auto"/>
        <w:jc w:val="center"/>
        <w:rPr>
          <w:rFonts w:ascii="Times New Roman" w:hAnsi="Times New Roman" w:cs="Times New Roman" w:eastAsiaTheme="majorEastAsia"/>
          <w:b/>
          <w:color w:val="000000" w:themeColor="text1"/>
        </w:rPr>
      </w:pPr>
    </w:p>
    <w:p w14:paraId="7F17555A">
      <w:pPr>
        <w:adjustRightInd w:val="0"/>
        <w:snapToGrid w:val="0"/>
        <w:spacing w:line="400" w:lineRule="exact"/>
        <w:rPr>
          <w:rFonts w:ascii="Times New Roman" w:hAnsi="Times New Roman" w:cs="Times New Roman"/>
          <w:b/>
          <w:bCs/>
          <w:color w:val="000000" w:themeColor="text1"/>
          <w:szCs w:val="21"/>
        </w:rPr>
      </w:pPr>
      <w:r>
        <w:rPr>
          <w:rFonts w:ascii="Times New Roman" w:hAnsi="Times New Roman" w:cs="Times New Roman"/>
          <w:b/>
          <w:bCs/>
          <w:color w:val="000000" w:themeColor="text1"/>
          <w:szCs w:val="21"/>
        </w:rPr>
        <w:t>一、技术领域</w:t>
      </w:r>
    </w:p>
    <w:p w14:paraId="3D325DE6">
      <w:pPr>
        <w:adjustRightInd w:val="0"/>
        <w:snapToGrid w:val="0"/>
        <w:spacing w:line="400" w:lineRule="exact"/>
        <w:ind w:firstLine="480" w:firstLineChars="200"/>
        <w:rPr>
          <w:rFonts w:ascii="Times New Roman" w:hAnsi="Times New Roman" w:cs="Times New Roman"/>
          <w:b/>
          <w:bCs/>
          <w:color w:val="000000" w:themeColor="text1"/>
          <w:szCs w:val="21"/>
        </w:rPr>
      </w:pPr>
      <w:r>
        <w:rPr>
          <w:rFonts w:ascii="Times New Roman" w:hAnsi="Times New Roman" w:cs="Times New Roman"/>
          <w:color w:val="000000" w:themeColor="text1"/>
          <w:sz w:val="24"/>
          <w:szCs w:val="24"/>
        </w:rPr>
        <w:t>本发明涉及</w:t>
      </w:r>
      <w:r>
        <w:rPr>
          <w:rFonts w:hint="eastAsia" w:ascii="Times New Roman" w:hAnsi="Times New Roman" w:cs="Times New Roman"/>
          <w:color w:val="000000" w:themeColor="text1"/>
          <w:sz w:val="24"/>
          <w:szCs w:val="24"/>
        </w:rPr>
        <w:t>氮杂环卡宾和乙酰丙酮锰的协同催化合</w:t>
      </w:r>
      <w:r>
        <w:rPr>
          <w:rFonts w:ascii="Times New Roman" w:hAnsi="Times New Roman" w:cs="Times New Roman"/>
          <w:color w:val="000000" w:themeColor="text1"/>
          <w:sz w:val="24"/>
          <w:szCs w:val="24"/>
        </w:rPr>
        <w:t>成技术，具体是</w:t>
      </w:r>
      <w:r>
        <w:rPr>
          <w:rFonts w:hint="eastAsia" w:ascii="Times New Roman" w:hAnsi="Times New Roman" w:cs="Times New Roman"/>
          <w:color w:val="000000" w:themeColor="text1"/>
          <w:sz w:val="24"/>
          <w:szCs w:val="24"/>
        </w:rPr>
        <w:t>一种烯烃双官能团合成α-芳基-β-单氟烷基酮衍生物的方法</w:t>
      </w:r>
      <w:r>
        <w:rPr>
          <w:rFonts w:ascii="Times New Roman" w:hAnsi="Times New Roman" w:cs="Times New Roman"/>
          <w:color w:val="000000" w:themeColor="text1"/>
          <w:sz w:val="24"/>
          <w:szCs w:val="24"/>
        </w:rPr>
        <w:t>。</w:t>
      </w:r>
    </w:p>
    <w:p w14:paraId="5049124D">
      <w:pPr>
        <w:adjustRightInd w:val="0"/>
        <w:snapToGrid w:val="0"/>
        <w:spacing w:line="400" w:lineRule="exact"/>
        <w:rPr>
          <w:rFonts w:ascii="Times New Roman" w:hAnsi="Times New Roman" w:cs="Times New Roman"/>
          <w:color w:val="000000" w:themeColor="text1"/>
          <w:szCs w:val="21"/>
        </w:rPr>
      </w:pPr>
      <w:r>
        <w:rPr>
          <w:rFonts w:ascii="Times New Roman" w:hAnsi="Times New Roman" w:cs="Times New Roman"/>
          <w:b/>
          <w:bCs/>
          <w:color w:val="000000" w:themeColor="text1"/>
          <w:szCs w:val="21"/>
        </w:rPr>
        <w:t>二、背景技术</w:t>
      </w:r>
    </w:p>
    <w:p w14:paraId="45F14A6E">
      <w:pPr>
        <w:snapToGrid w:val="0"/>
        <w:spacing w:line="360" w:lineRule="auto"/>
        <w:ind w:firstLine="480" w:firstLineChars="200"/>
        <w:rPr>
          <w:rFonts w:ascii="宋体" w:hAnsi="宋体" w:eastAsia="宋体"/>
          <w:color w:val="000000" w:themeColor="text1"/>
          <w:sz w:val="24"/>
          <w:szCs w:val="24"/>
        </w:rPr>
      </w:pPr>
      <w:r>
        <w:rPr>
          <w:rFonts w:hint="eastAsia" w:ascii="宋体" w:hAnsi="宋体" w:eastAsia="宋体"/>
          <w:color w:val="000000" w:themeColor="text1"/>
          <w:sz w:val="24"/>
          <w:szCs w:val="24"/>
        </w:rPr>
        <w:t>通过将氟原子或含氟基团引入到分子骨架中，是药物化学结构修饰的重要研究策略之一。含氟基团能够影响化合物的理化性质，改善药物分子的药动学特性，增强代谢稳定性和提高靶标蛋白的选择性等。因此，含氟基团的有机分子在生命科学、农业科学和材料科学等领域中广泛应用，使得发展新的构建含氟基团的合成方法显得尤为迫切，与其它氟烷基化（如二氟烷基化、三氟甲基化等）不同的是，目前关于一氟烷基化的研究相对较少，所以发展一种高效合成具有结构类型多样的一氟烷基衍生物具有重要的意义。</w:t>
      </w:r>
    </w:p>
    <w:p w14:paraId="40E6A24E">
      <w:pPr>
        <w:adjustRightInd w:val="0"/>
        <w:snapToGrid w:val="0"/>
        <w:spacing w:line="360" w:lineRule="auto"/>
        <w:rPr>
          <w:rFonts w:ascii="Times New Roman" w:hAnsi="Times New Roman" w:cs="Times New Roman"/>
          <w:b/>
          <w:bCs/>
          <w:color w:val="000000" w:themeColor="text1"/>
          <w:szCs w:val="21"/>
        </w:rPr>
      </w:pPr>
      <w:r>
        <w:rPr>
          <w:rFonts w:ascii="Times New Roman" w:hAnsi="Times New Roman" w:cs="Times New Roman"/>
          <w:b/>
          <w:bCs/>
          <w:color w:val="000000" w:themeColor="text1"/>
          <w:szCs w:val="21"/>
        </w:rPr>
        <w:t>三、发明内容</w:t>
      </w:r>
    </w:p>
    <w:p w14:paraId="74407ECC">
      <w:pPr>
        <w:spacing w:line="360" w:lineRule="auto"/>
        <w:ind w:left="-40" w:firstLine="480"/>
        <w:rPr>
          <w:rFonts w:ascii="宋体" w:hAnsi="宋体" w:eastAsia="宋体"/>
          <w:color w:val="000000" w:themeColor="text1"/>
          <w:sz w:val="24"/>
          <w:szCs w:val="24"/>
        </w:rPr>
      </w:pPr>
      <w:r>
        <w:rPr>
          <w:rFonts w:hint="eastAsia" w:ascii="宋体" w:hAnsi="宋体" w:eastAsia="宋体"/>
          <w:color w:val="000000" w:themeColor="text1"/>
          <w:sz w:val="24"/>
          <w:szCs w:val="24"/>
        </w:rPr>
        <w:t>本发明的目的是针对现有技术的不足，而提供</w:t>
      </w:r>
      <w:r>
        <w:rPr>
          <w:rFonts w:ascii="宋体" w:hAnsi="宋体" w:eastAsia="宋体"/>
          <w:color w:val="000000" w:themeColor="text1"/>
          <w:sz w:val="24"/>
          <w:szCs w:val="24"/>
        </w:rPr>
        <w:t>一种烯烃双官能团合成α-芳基-β-单氟烷基酮衍生物的方法。这种</w:t>
      </w:r>
      <w:r>
        <w:rPr>
          <w:rFonts w:hint="eastAsia" w:ascii="宋体" w:hAnsi="宋体" w:eastAsia="宋体"/>
          <w:color w:val="000000" w:themeColor="text1"/>
          <w:sz w:val="24"/>
          <w:szCs w:val="24"/>
        </w:rPr>
        <w:t>方法反应条件温和、制备方法简单、高效、易于操作，所合成的</w:t>
      </w:r>
      <w:r>
        <w:rPr>
          <w:rFonts w:ascii="宋体" w:hAnsi="宋体" w:eastAsia="宋体"/>
          <w:color w:val="000000" w:themeColor="text1"/>
          <w:sz w:val="24"/>
          <w:szCs w:val="24"/>
        </w:rPr>
        <w:t>衍生物</w:t>
      </w:r>
      <w:r>
        <w:rPr>
          <w:rFonts w:hint="eastAsia" w:ascii="宋体" w:hAnsi="宋体" w:eastAsia="宋体"/>
          <w:color w:val="000000" w:themeColor="text1"/>
          <w:sz w:val="24"/>
          <w:szCs w:val="24"/>
        </w:rPr>
        <w:t>产率高，可应用于药物分子的结构改造。</w:t>
      </w:r>
    </w:p>
    <w:p w14:paraId="2E209B6E">
      <w:pPr>
        <w:spacing w:line="360" w:lineRule="auto"/>
        <w:ind w:left="-40" w:firstLine="4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实现本发明目的的技术方案是：</w:t>
      </w:r>
    </w:p>
    <w:p w14:paraId="0BF2AFD4">
      <w:pPr>
        <w:snapToGrid w:val="0"/>
        <w:spacing w:line="360" w:lineRule="auto"/>
        <w:ind w:firstLine="480" w:firstLineChars="200"/>
        <w:rPr>
          <w:rFonts w:ascii="宋体" w:hAnsi="宋体" w:eastAsia="宋体"/>
          <w:color w:val="000000" w:themeColor="text1"/>
          <w:sz w:val="24"/>
          <w:szCs w:val="24"/>
        </w:rPr>
      </w:pPr>
      <w:r>
        <w:rPr>
          <w:rFonts w:ascii="宋体" w:hAnsi="宋体" w:eastAsia="宋体"/>
          <w:color w:val="000000" w:themeColor="text1"/>
          <w:sz w:val="24"/>
          <w:szCs w:val="24"/>
        </w:rPr>
        <w:t>一种烯烃双官能团合成α-芳基-β-单氟烷基酮衍生物的方法，</w:t>
      </w:r>
      <w:r>
        <w:rPr>
          <w:rFonts w:hint="eastAsia" w:ascii="宋体" w:hAnsi="宋体" w:eastAsia="宋体"/>
          <w:color w:val="000000" w:themeColor="text1"/>
          <w:sz w:val="24"/>
          <w:szCs w:val="24"/>
        </w:rPr>
        <w:t xml:space="preserve"> </w:t>
      </w:r>
      <w:r>
        <w:rPr>
          <w:rFonts w:ascii="宋体" w:hAnsi="宋体" w:eastAsia="宋体"/>
          <w:color w:val="000000" w:themeColor="text1"/>
          <w:sz w:val="24"/>
          <w:szCs w:val="24"/>
        </w:rPr>
        <w:t>所述方法为：</w:t>
      </w:r>
    </w:p>
    <w:p w14:paraId="78500C63">
      <w:pPr>
        <w:snapToGrid w:val="0"/>
        <w:spacing w:line="360" w:lineRule="auto"/>
        <w:ind w:firstLine="480" w:firstLineChars="200"/>
        <w:rPr>
          <w:rFonts w:ascii="宋体" w:hAnsi="宋体" w:eastAsia="宋体"/>
          <w:color w:val="000000" w:themeColor="text1"/>
          <w:sz w:val="24"/>
          <w:szCs w:val="24"/>
        </w:rPr>
      </w:pPr>
      <w:r>
        <w:rPr>
          <w:rFonts w:hint="eastAsia" w:ascii="宋体" w:hAnsi="宋体" w:eastAsia="宋体"/>
          <w:color w:val="000000" w:themeColor="text1"/>
          <w:sz w:val="24"/>
          <w:szCs w:val="24"/>
        </w:rPr>
        <w:t>在手套箱内，将一氟溴乙酸乙酯；芳基乙烯；芳基甲醛；氮杂卡宾NHC催化剂；Mn(acac)2或Fe(OAc)2；碳酸铯置于试管中，用橡胶塞封好试管后，从手套箱中取出试管，然后在氩气保护下加入无水THF，进行反应，经后处理即加入乙酸乙酯与水萃取、干燥、浓缩，将浓缩物以体积比石油醚/乙酸乙酯＝100：1～4：1为洗脱剂梯度洗脱，进行柱层析纯化，得到α-芳基-β-单氟烷基酮衍生物，其中，一氟溴乙酸乙酯</w:t>
      </w:r>
      <w:bookmarkStart w:id="0" w:name="_GoBack"/>
      <w:bookmarkEnd w:id="0"/>
      <w:r>
        <w:rPr>
          <w:rFonts w:hint="eastAsia" w:ascii="宋体" w:hAnsi="宋体" w:eastAsia="宋体"/>
          <w:color w:val="000000" w:themeColor="text1"/>
          <w:sz w:val="24"/>
          <w:szCs w:val="24"/>
        </w:rPr>
        <w:t>的结构式为式（I）、氮杂卡宾N</w:t>
      </w:r>
      <w:r>
        <w:rPr>
          <w:rFonts w:ascii="宋体" w:hAnsi="宋体" w:eastAsia="宋体"/>
          <w:color w:val="000000" w:themeColor="text1"/>
          <w:sz w:val="24"/>
          <w:szCs w:val="24"/>
        </w:rPr>
        <w:t>HC</w:t>
      </w:r>
      <w:r>
        <w:rPr>
          <w:rFonts w:hint="eastAsia" w:ascii="宋体" w:hAnsi="宋体" w:eastAsia="宋体"/>
          <w:color w:val="000000" w:themeColor="text1"/>
          <w:sz w:val="24"/>
          <w:szCs w:val="24"/>
        </w:rPr>
        <w:t>催化剂的结构式为式（II</w:t>
      </w:r>
      <w:r>
        <w:rPr>
          <w:rFonts w:ascii="宋体" w:hAnsi="宋体" w:eastAsia="宋体"/>
          <w:color w:val="000000" w:themeColor="text1"/>
          <w:sz w:val="24"/>
          <w:szCs w:val="24"/>
        </w:rPr>
        <w:t>）</w:t>
      </w:r>
      <w:r>
        <w:rPr>
          <w:rFonts w:hint="eastAsia" w:ascii="宋体" w:hAnsi="宋体" w:eastAsia="宋体"/>
          <w:color w:val="000000" w:themeColor="text1"/>
          <w:sz w:val="24"/>
          <w:szCs w:val="24"/>
        </w:rPr>
        <w:t>或（III）：</w:t>
      </w:r>
    </w:p>
    <w:p w14:paraId="31F830E5">
      <w:pPr>
        <w:snapToGrid w:val="0"/>
        <w:spacing w:line="360" w:lineRule="auto"/>
        <w:jc w:val="center"/>
        <w:rPr>
          <w:rFonts w:ascii="宋体" w:hAnsi="宋体" w:eastAsia="宋体"/>
          <w:color w:val="000000" w:themeColor="text1"/>
          <w:sz w:val="24"/>
          <w:szCs w:val="24"/>
        </w:rPr>
      </w:pPr>
      <w:r>
        <w:rPr>
          <w:rFonts w:ascii="宋体" w:hAnsi="宋体" w:eastAsia="宋体"/>
          <w:color w:val="000000" w:themeColor="text1"/>
          <w:sz w:val="24"/>
          <w:szCs w:val="24"/>
        </w:rPr>
        <w:pict>
          <v:shape id="_x0000_i1025" o:spt="75" alt="图示&#10;&#10;描述已自动生成" type="#_x0000_t75" style="height:86.4pt;width:319pt;" filled="f" o:preferrelative="t" stroked="f" coordsize="21600,21600">
            <v:path/>
            <v:fill on="f" focussize="0,0"/>
            <v:stroke on="f" joinstyle="miter"/>
            <v:imagedata r:id="rId4" o:title="图示&#10;&#10;描述已自动生成"/>
            <o:lock v:ext="edit" aspectratio="t"/>
            <w10:wrap type="none"/>
            <w10:anchorlock/>
          </v:shape>
        </w:pict>
      </w:r>
    </w:p>
    <w:p w14:paraId="19788F7F">
      <w:pPr>
        <w:snapToGrid w:val="0"/>
        <w:spacing w:line="360" w:lineRule="auto"/>
        <w:jc w:val="left"/>
        <w:rPr>
          <w:rFonts w:hint="eastAsia" w:ascii="宋体" w:hAnsi="宋体" w:eastAsia="宋体"/>
          <w:color w:val="000000" w:themeColor="text1"/>
          <w:sz w:val="24"/>
          <w:szCs w:val="24"/>
        </w:rPr>
      </w:pPr>
      <w:r>
        <w:rPr>
          <w:rFonts w:ascii="宋体" w:hAnsi="宋体" w:eastAsia="宋体"/>
          <w:color w:val="000000" w:themeColor="text1"/>
          <w:sz w:val="24"/>
          <w:szCs w:val="24"/>
        </w:rPr>
        <w:t xml:space="preserve">    </w:t>
      </w:r>
      <w:r>
        <w:rPr>
          <w:rFonts w:hint="eastAsia" w:ascii="宋体" w:hAnsi="宋体" w:eastAsia="宋体"/>
          <w:color w:val="000000" w:themeColor="text1"/>
          <w:sz w:val="24"/>
          <w:szCs w:val="24"/>
        </w:rPr>
        <w:t xml:space="preserve">         （I） </w:t>
      </w:r>
      <w:r>
        <w:rPr>
          <w:rFonts w:ascii="宋体" w:hAnsi="宋体" w:eastAsia="宋体"/>
          <w:color w:val="000000" w:themeColor="text1"/>
          <w:sz w:val="24"/>
          <w:szCs w:val="24"/>
        </w:rPr>
        <w:t xml:space="preserve">       </w:t>
      </w:r>
      <w:r>
        <w:rPr>
          <w:rFonts w:hint="eastAsia" w:ascii="宋体" w:hAnsi="宋体" w:eastAsia="宋体"/>
          <w:color w:val="000000" w:themeColor="text1"/>
          <w:sz w:val="24"/>
          <w:szCs w:val="24"/>
        </w:rPr>
        <w:t xml:space="preserve">     （I</w:t>
      </w:r>
      <w:r>
        <w:rPr>
          <w:rFonts w:ascii="宋体" w:hAnsi="宋体" w:eastAsia="宋体"/>
          <w:color w:val="000000" w:themeColor="text1"/>
          <w:sz w:val="24"/>
          <w:szCs w:val="24"/>
        </w:rPr>
        <w:t>I</w:t>
      </w:r>
      <w:r>
        <w:rPr>
          <w:rFonts w:hint="eastAsia" w:ascii="宋体" w:hAnsi="宋体" w:eastAsia="宋体"/>
          <w:color w:val="000000" w:themeColor="text1"/>
          <w:sz w:val="24"/>
          <w:szCs w:val="24"/>
        </w:rPr>
        <w:t xml:space="preserve">） </w:t>
      </w:r>
      <w:r>
        <w:rPr>
          <w:rFonts w:ascii="宋体" w:hAnsi="宋体" w:eastAsia="宋体"/>
          <w:color w:val="000000" w:themeColor="text1"/>
          <w:sz w:val="24"/>
          <w:szCs w:val="24"/>
        </w:rPr>
        <w:t xml:space="preserve">         </w:t>
      </w:r>
      <w:r>
        <w:rPr>
          <w:rFonts w:hint="eastAsia" w:ascii="宋体" w:hAnsi="宋体" w:eastAsia="宋体"/>
          <w:color w:val="000000" w:themeColor="text1"/>
          <w:sz w:val="24"/>
          <w:szCs w:val="24"/>
        </w:rPr>
        <w:t xml:space="preserve">   （I</w:t>
      </w:r>
      <w:r>
        <w:rPr>
          <w:rFonts w:ascii="宋体" w:hAnsi="宋体" w:eastAsia="宋体"/>
          <w:color w:val="000000" w:themeColor="text1"/>
          <w:sz w:val="24"/>
          <w:szCs w:val="24"/>
        </w:rPr>
        <w:t>II</w:t>
      </w:r>
      <w:r>
        <w:rPr>
          <w:rFonts w:hint="eastAsia" w:ascii="宋体" w:hAnsi="宋体" w:eastAsia="宋体"/>
          <w:color w:val="000000" w:themeColor="text1"/>
          <w:sz w:val="24"/>
          <w:szCs w:val="24"/>
        </w:rPr>
        <w:t xml:space="preserve">） </w:t>
      </w:r>
      <w:r>
        <w:rPr>
          <w:rFonts w:ascii="宋体" w:hAnsi="宋体" w:eastAsia="宋体"/>
          <w:color w:val="000000" w:themeColor="text1"/>
          <w:sz w:val="24"/>
          <w:szCs w:val="24"/>
        </w:rPr>
        <w:t xml:space="preserve">     </w:t>
      </w:r>
    </w:p>
    <w:p w14:paraId="4125A77F">
      <w:pPr>
        <w:snapToGrid w:val="0"/>
        <w:spacing w:line="360" w:lineRule="auto"/>
        <w:ind w:firstLine="480" w:firstLineChars="200"/>
        <w:rPr>
          <w:rFonts w:ascii="宋体" w:hAnsi="宋体" w:eastAsia="宋体"/>
          <w:color w:val="000000" w:themeColor="text1"/>
          <w:sz w:val="24"/>
          <w:szCs w:val="24"/>
        </w:rPr>
      </w:pPr>
      <w:r>
        <w:rPr>
          <w:rFonts w:ascii="宋体" w:hAnsi="宋体" w:eastAsia="宋体"/>
          <w:color w:val="000000" w:themeColor="text1"/>
          <w:sz w:val="24"/>
          <w:szCs w:val="24"/>
        </w:rPr>
        <w:t>所述</w:t>
      </w:r>
      <w:r>
        <w:rPr>
          <w:rFonts w:hint="eastAsia" w:ascii="宋体" w:hAnsi="宋体" w:eastAsia="宋体"/>
          <w:color w:val="000000" w:themeColor="text1"/>
          <w:sz w:val="24"/>
          <w:szCs w:val="24"/>
        </w:rPr>
        <w:t>反应过程中用薄层层析板跟踪反应直至反应完全，其中，所述的反应温度为</w:t>
      </w:r>
      <w:r>
        <w:rPr>
          <w:rFonts w:ascii="宋体" w:hAnsi="宋体" w:eastAsia="宋体"/>
          <w:color w:val="000000" w:themeColor="text1"/>
          <w:sz w:val="24"/>
          <w:szCs w:val="24"/>
        </w:rPr>
        <w:t>60</w:t>
      </w:r>
      <w:r>
        <w:rPr>
          <w:rFonts w:hint="eastAsia" w:ascii="宋体" w:hAnsi="宋体" w:eastAsia="宋体"/>
          <w:color w:val="000000" w:themeColor="text1"/>
          <w:sz w:val="24"/>
          <w:szCs w:val="24"/>
          <w:vertAlign w:val="superscript"/>
        </w:rPr>
        <w:t>o</w:t>
      </w:r>
      <w:r>
        <w:rPr>
          <w:rFonts w:ascii="宋体" w:hAnsi="宋体" w:eastAsia="宋体"/>
          <w:color w:val="000000" w:themeColor="text1"/>
          <w:sz w:val="24"/>
          <w:szCs w:val="24"/>
        </w:rPr>
        <w:t>C、</w:t>
      </w:r>
      <w:r>
        <w:rPr>
          <w:rFonts w:hint="eastAsia" w:ascii="宋体" w:hAnsi="宋体" w:eastAsia="宋体"/>
          <w:color w:val="000000" w:themeColor="text1"/>
          <w:sz w:val="24"/>
          <w:szCs w:val="24"/>
        </w:rPr>
        <w:t>反应时间为1</w:t>
      </w:r>
      <w:r>
        <w:rPr>
          <w:rFonts w:ascii="宋体" w:hAnsi="宋体" w:eastAsia="宋体"/>
          <w:color w:val="000000" w:themeColor="text1"/>
          <w:sz w:val="24"/>
          <w:szCs w:val="24"/>
        </w:rPr>
        <w:t xml:space="preserve">2 </w:t>
      </w:r>
      <w:r>
        <w:rPr>
          <w:rFonts w:hint="eastAsia" w:ascii="宋体" w:hAnsi="宋体" w:eastAsia="宋体"/>
          <w:color w:val="000000" w:themeColor="text1"/>
          <w:sz w:val="24"/>
          <w:szCs w:val="24"/>
        </w:rPr>
        <w:t>h。</w:t>
      </w:r>
    </w:p>
    <w:p w14:paraId="5C977AFE">
      <w:pPr>
        <w:snapToGrid w:val="0"/>
        <w:spacing w:line="360" w:lineRule="auto"/>
        <w:ind w:firstLine="480" w:firstLineChars="200"/>
        <w:rPr>
          <w:rFonts w:ascii="宋体" w:hAnsi="宋体" w:eastAsia="宋体"/>
          <w:color w:val="000000" w:themeColor="text1"/>
          <w:sz w:val="24"/>
          <w:szCs w:val="24"/>
        </w:rPr>
      </w:pPr>
      <w:r>
        <w:rPr>
          <w:rFonts w:ascii="宋体" w:hAnsi="宋体" w:eastAsia="宋体"/>
          <w:color w:val="000000" w:themeColor="text1"/>
          <w:sz w:val="24"/>
          <w:szCs w:val="24"/>
        </w:rPr>
        <w:t>所述方法中</w:t>
      </w:r>
      <w:r>
        <w:rPr>
          <w:rFonts w:hint="eastAsia" w:ascii="宋体" w:hAnsi="宋体" w:eastAsia="宋体"/>
          <w:color w:val="000000" w:themeColor="text1"/>
          <w:sz w:val="24"/>
          <w:szCs w:val="24"/>
        </w:rPr>
        <w:t>原料摩尔比为芳基甲醛：芳基乙烯：一氟溴乙酸乙酯：碳酸铯：N</w:t>
      </w:r>
      <w:r>
        <w:rPr>
          <w:rFonts w:ascii="宋体" w:hAnsi="宋体" w:eastAsia="宋体"/>
          <w:color w:val="000000" w:themeColor="text1"/>
          <w:sz w:val="24"/>
          <w:szCs w:val="24"/>
        </w:rPr>
        <w:t>HC</w:t>
      </w:r>
      <w:r>
        <w:rPr>
          <w:rFonts w:hint="eastAsia" w:ascii="宋体" w:hAnsi="宋体" w:eastAsia="宋体"/>
          <w:color w:val="000000" w:themeColor="text1"/>
          <w:sz w:val="24"/>
          <w:szCs w:val="24"/>
        </w:rPr>
        <w:t>催化剂：Mn(acac</w:t>
      </w:r>
      <w:r>
        <w:rPr>
          <w:rFonts w:ascii="宋体" w:hAnsi="宋体" w:eastAsia="宋体"/>
          <w:color w:val="000000" w:themeColor="text1"/>
          <w:sz w:val="24"/>
          <w:szCs w:val="24"/>
        </w:rPr>
        <w:t>)</w:t>
      </w:r>
      <w:r>
        <w:rPr>
          <w:rFonts w:ascii="宋体" w:hAnsi="宋体" w:eastAsia="宋体"/>
          <w:color w:val="000000" w:themeColor="text1"/>
          <w:sz w:val="24"/>
          <w:szCs w:val="24"/>
          <w:vertAlign w:val="subscript"/>
        </w:rPr>
        <w:t>2</w:t>
      </w:r>
      <w:r>
        <w:rPr>
          <w:rFonts w:ascii="宋体" w:hAnsi="宋体" w:eastAsia="宋体"/>
          <w:color w:val="000000" w:themeColor="text1"/>
          <w:sz w:val="24"/>
          <w:szCs w:val="24"/>
        </w:rPr>
        <w:t xml:space="preserve"> </w:t>
      </w:r>
      <w:r>
        <w:rPr>
          <w:rFonts w:hint="eastAsia" w:ascii="宋体" w:hAnsi="宋体" w:eastAsia="宋体"/>
          <w:color w:val="000000" w:themeColor="text1"/>
          <w:sz w:val="24"/>
          <w:szCs w:val="24"/>
        </w:rPr>
        <w:t>或</w:t>
      </w:r>
      <w:r>
        <w:rPr>
          <w:rFonts w:ascii="宋体" w:hAnsi="宋体" w:eastAsia="宋体"/>
          <w:color w:val="000000" w:themeColor="text1"/>
          <w:sz w:val="24"/>
          <w:szCs w:val="24"/>
        </w:rPr>
        <w:t>F</w:t>
      </w:r>
      <w:r>
        <w:rPr>
          <w:rFonts w:hint="eastAsia" w:ascii="宋体" w:hAnsi="宋体" w:eastAsia="宋体"/>
          <w:color w:val="000000" w:themeColor="text1"/>
          <w:sz w:val="24"/>
          <w:szCs w:val="24"/>
        </w:rPr>
        <w:t>e</w:t>
      </w:r>
      <w:r>
        <w:rPr>
          <w:rFonts w:ascii="宋体" w:hAnsi="宋体" w:eastAsia="宋体"/>
          <w:color w:val="000000" w:themeColor="text1"/>
          <w:sz w:val="24"/>
          <w:szCs w:val="24"/>
        </w:rPr>
        <w:t>(OAc)</w:t>
      </w:r>
      <w:r>
        <w:rPr>
          <w:rFonts w:ascii="宋体" w:hAnsi="宋体" w:eastAsia="宋体"/>
          <w:color w:val="000000" w:themeColor="text1"/>
          <w:sz w:val="24"/>
          <w:szCs w:val="24"/>
          <w:vertAlign w:val="subscript"/>
        </w:rPr>
        <w:t xml:space="preserve">2 </w:t>
      </w:r>
      <w:r>
        <w:rPr>
          <w:rFonts w:ascii="宋体" w:hAnsi="宋体" w:eastAsia="宋体"/>
          <w:color w:val="000000" w:themeColor="text1"/>
          <w:sz w:val="24"/>
          <w:szCs w:val="24"/>
        </w:rPr>
        <w:t>= 1:1.5:2.0:1.5:0.1:0.1。</w:t>
      </w:r>
    </w:p>
    <w:p w14:paraId="3A564388">
      <w:pPr>
        <w:snapToGrid w:val="0"/>
        <w:spacing w:line="360" w:lineRule="auto"/>
        <w:ind w:firstLine="480" w:firstLineChars="200"/>
        <w:rPr>
          <w:rFonts w:ascii="宋体" w:hAnsi="宋体" w:eastAsia="宋体"/>
          <w:color w:val="000000" w:themeColor="text1"/>
          <w:sz w:val="24"/>
          <w:szCs w:val="24"/>
        </w:rPr>
      </w:pPr>
      <w:r>
        <w:rPr>
          <w:rFonts w:ascii="宋体" w:hAnsi="宋体" w:eastAsia="宋体"/>
          <w:color w:val="000000" w:themeColor="text1"/>
          <w:sz w:val="24"/>
          <w:szCs w:val="24"/>
        </w:rPr>
        <w:t>这种</w:t>
      </w:r>
      <w:r>
        <w:rPr>
          <w:rFonts w:hint="eastAsia" w:ascii="宋体" w:hAnsi="宋体" w:eastAsia="宋体"/>
          <w:color w:val="000000" w:themeColor="text1"/>
          <w:sz w:val="24"/>
          <w:szCs w:val="24"/>
        </w:rPr>
        <w:t>方法反应条件温和、制备方法简单、高效、易于操作，所合成的</w:t>
      </w:r>
      <w:r>
        <w:rPr>
          <w:rFonts w:ascii="宋体" w:hAnsi="宋体" w:eastAsia="宋体"/>
          <w:color w:val="000000" w:themeColor="text1"/>
          <w:sz w:val="24"/>
          <w:szCs w:val="24"/>
        </w:rPr>
        <w:t>衍生物</w:t>
      </w:r>
      <w:r>
        <w:rPr>
          <w:rFonts w:hint="eastAsia" w:ascii="宋体" w:hAnsi="宋体" w:eastAsia="宋体"/>
          <w:color w:val="000000" w:themeColor="text1"/>
          <w:sz w:val="24"/>
          <w:szCs w:val="24"/>
        </w:rPr>
        <w:t>产率高，可应用于药物分子的结构改造。</w:t>
      </w:r>
    </w:p>
    <w:p w14:paraId="66BC5C0D">
      <w:pPr>
        <w:spacing w:line="360" w:lineRule="auto"/>
        <w:ind w:firstLine="480" w:firstLineChars="200"/>
        <w:rPr>
          <w:rFonts w:ascii="Times New Roman" w:hAnsi="Times New Roman" w:cs="Times New Roman"/>
          <w:color w:val="000000" w:themeColor="text1"/>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E496D"/>
    <w:rsid w:val="00023A5D"/>
    <w:rsid w:val="00086FE4"/>
    <w:rsid w:val="0012002D"/>
    <w:rsid w:val="001333D4"/>
    <w:rsid w:val="00142C79"/>
    <w:rsid w:val="00174FEE"/>
    <w:rsid w:val="001E206D"/>
    <w:rsid w:val="00235198"/>
    <w:rsid w:val="002471E4"/>
    <w:rsid w:val="002E7FC3"/>
    <w:rsid w:val="00360234"/>
    <w:rsid w:val="00371580"/>
    <w:rsid w:val="003D4863"/>
    <w:rsid w:val="003E0AB2"/>
    <w:rsid w:val="003E2E4B"/>
    <w:rsid w:val="00421187"/>
    <w:rsid w:val="004B4E84"/>
    <w:rsid w:val="005150C8"/>
    <w:rsid w:val="0054784F"/>
    <w:rsid w:val="00557350"/>
    <w:rsid w:val="005A713B"/>
    <w:rsid w:val="0066281F"/>
    <w:rsid w:val="00694649"/>
    <w:rsid w:val="006E2D04"/>
    <w:rsid w:val="00712815"/>
    <w:rsid w:val="00737830"/>
    <w:rsid w:val="00760859"/>
    <w:rsid w:val="007635A3"/>
    <w:rsid w:val="007E496D"/>
    <w:rsid w:val="00855292"/>
    <w:rsid w:val="00876D71"/>
    <w:rsid w:val="008934BB"/>
    <w:rsid w:val="008B4652"/>
    <w:rsid w:val="0092137B"/>
    <w:rsid w:val="00A44548"/>
    <w:rsid w:val="00A652DA"/>
    <w:rsid w:val="00B07115"/>
    <w:rsid w:val="00B30344"/>
    <w:rsid w:val="00CF2A97"/>
    <w:rsid w:val="00D759CB"/>
    <w:rsid w:val="00EA3668"/>
    <w:rsid w:val="00EA637E"/>
    <w:rsid w:val="00ED11E4"/>
    <w:rsid w:val="00F44AE2"/>
    <w:rsid w:val="00FB08E3"/>
    <w:rsid w:val="00FB74AA"/>
    <w:rsid w:val="147762FB"/>
    <w:rsid w:val="178C749F"/>
    <w:rsid w:val="2BC84A3E"/>
    <w:rsid w:val="3B306A7D"/>
    <w:rsid w:val="43CC72AC"/>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字符"/>
    <w:basedOn w:val="7"/>
    <w:link w:val="4"/>
    <w:qFormat/>
    <w:uiPriority w:val="99"/>
    <w:rPr>
      <w:kern w:val="2"/>
      <w:sz w:val="18"/>
      <w:szCs w:val="18"/>
    </w:rPr>
  </w:style>
  <w:style w:type="character" w:customStyle="1" w:styleId="9">
    <w:name w:val="页脚 字符"/>
    <w:basedOn w:val="7"/>
    <w:link w:val="3"/>
    <w:uiPriority w:val="99"/>
    <w:rPr>
      <w:kern w:val="2"/>
      <w:sz w:val="18"/>
      <w:szCs w:val="18"/>
    </w:rPr>
  </w:style>
  <w:style w:type="paragraph" w:customStyle="1" w:styleId="10">
    <w:name w:val="正文1"/>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字符"/>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uiPriority w:val="0"/>
    <w:rPr>
      <w:rFonts w:hint="default" w:ascii="Verdana" w:hAnsi="Verdana"/>
      <w:snapToGrid/>
      <w:color w:val="C90000"/>
      <w:sz w:val="18"/>
      <w:szCs w:val="18"/>
    </w:rPr>
  </w:style>
  <w:style w:type="paragraph" w:styleId="14">
    <w:name w:val="List Paragraph"/>
    <w:basedOn w:val="1"/>
    <w:qFormat/>
    <w:uiPriority w:val="34"/>
    <w:pPr>
      <w:widowControl/>
      <w:adjustRightInd w:val="0"/>
      <w:snapToGrid w:val="0"/>
      <w:spacing w:after="200"/>
      <w:ind w:firstLine="420" w:firstLineChars="200"/>
      <w:jc w:val="left"/>
    </w:pPr>
    <w:rPr>
      <w:rFonts w:ascii="Tahoma" w:hAnsi="Tahoma" w:eastAsia="微软雅黑"/>
      <w:kern w:val="0"/>
      <w:sz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Pages>
  <Words>804</Words>
  <Characters>886</Characters>
  <Lines>6</Lines>
  <Paragraphs>1</Paragraphs>
  <TotalTime>50</TotalTime>
  <ScaleCrop>false</ScaleCrop>
  <LinksUpToDate>false</LinksUpToDate>
  <CharactersWithSpaces>936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小黄同学</cp:lastModifiedBy>
  <dcterms:modified xsi:type="dcterms:W3CDTF">2025-10-09T02:37:47Z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eyJoZGlkIjoiOGY3OTYzOTliYzZlYWUzNDY4MzQ3MjFjNjZmNmZkM2EiLCJ1c2VySWQiOiIzMzEwMTU4NjQifQ==</vt:lpwstr>
  </property>
  <property fmtid="{D5CDD505-2E9C-101B-9397-08002B2CF9AE}" pid="4" name="ICV">
    <vt:lpwstr>FB216149A1CA44428AF5D39A18D063E0_12</vt:lpwstr>
  </property>
</Properties>
</file>