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2B56C" w14:textId="77777777" w:rsidR="00664224" w:rsidRDefault="00BC5BF9" w:rsidP="0068593B">
      <w:pPr>
        <w:pStyle w:val="a9"/>
        <w:spacing w:line="360" w:lineRule="auto"/>
        <w:jc w:val="both"/>
        <w:rPr>
          <w:rFonts w:hint="eastAsia"/>
          <w:b/>
          <w:bCs/>
        </w:rPr>
      </w:pPr>
      <w:r>
        <w:rPr>
          <w:rFonts w:hint="eastAsia"/>
          <w:b/>
          <w:bCs/>
        </w:rPr>
        <w:t>附件：</w:t>
      </w:r>
    </w:p>
    <w:p w14:paraId="0A36BE8A" w14:textId="6FCA2A4A" w:rsidR="00664224" w:rsidRDefault="00BC5BF9">
      <w:pPr>
        <w:pStyle w:val="a9"/>
        <w:spacing w:line="360" w:lineRule="auto"/>
        <w:jc w:val="center"/>
        <w:rPr>
          <w:rFonts w:asciiTheme="majorEastAsia" w:eastAsiaTheme="majorEastAsia" w:hAnsiTheme="majorEastAsia" w:hint="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拟转让</w:t>
      </w:r>
      <w:r w:rsidR="00631BBE">
        <w:rPr>
          <w:rFonts w:asciiTheme="majorEastAsia" w:eastAsiaTheme="majorEastAsia" w:hAnsiTheme="majorEastAsia" w:hint="eastAsia"/>
          <w:b/>
          <w:sz w:val="28"/>
          <w:szCs w:val="28"/>
        </w:rPr>
        <w:t>实用新型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专利简介</w:t>
      </w:r>
    </w:p>
    <w:p w14:paraId="4CC777D3" w14:textId="77777777" w:rsidR="00D01A72" w:rsidRPr="00D01A72" w:rsidRDefault="00D01A72" w:rsidP="00D01A72">
      <w:pPr>
        <w:spacing w:after="160" w:line="360" w:lineRule="auto"/>
        <w:jc w:val="left"/>
        <w:rPr>
          <w:rFonts w:ascii="宋体" w:eastAsia="宋体" w:hAnsi="宋体" w:cs="宋体"/>
          <w:b/>
          <w:sz w:val="24"/>
          <w:szCs w:val="24"/>
        </w:rPr>
      </w:pPr>
      <w:r w:rsidRPr="00D01A72">
        <w:rPr>
          <w:rFonts w:ascii="宋体" w:eastAsia="宋体" w:hAnsi="宋体" w:cs="宋体" w:hint="eastAsia"/>
          <w:b/>
          <w:sz w:val="24"/>
          <w:szCs w:val="24"/>
        </w:rPr>
        <w:t>技术领域</w:t>
      </w:r>
    </w:p>
    <w:p w14:paraId="1B4CAA94" w14:textId="77777777" w:rsidR="00D01A72" w:rsidRPr="00D01A72" w:rsidRDefault="00D01A72" w:rsidP="00D01A72">
      <w:pPr>
        <w:spacing w:after="160"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  <w:szCs w:val="24"/>
        </w:rPr>
      </w:pPr>
      <w:r w:rsidRPr="00D01A72">
        <w:rPr>
          <w:rFonts w:ascii="宋体" w:eastAsia="宋体" w:hAnsi="宋体" w:cs="宋体" w:hint="eastAsia"/>
          <w:sz w:val="24"/>
          <w:szCs w:val="24"/>
        </w:rPr>
        <w:t>本实用新型涉及半导体集成电路领域，具体涉及一种低温度系数带隙基准电压源。</w:t>
      </w:r>
    </w:p>
    <w:p w14:paraId="6738A9D5" w14:textId="77777777" w:rsidR="00D01A72" w:rsidRPr="00D01A72" w:rsidRDefault="00D01A72" w:rsidP="00D01A72">
      <w:pPr>
        <w:spacing w:after="160" w:line="360" w:lineRule="auto"/>
        <w:jc w:val="left"/>
        <w:rPr>
          <w:rFonts w:ascii="宋体" w:eastAsia="宋体" w:hAnsi="宋体" w:cs="宋体" w:hint="eastAsia"/>
          <w:b/>
          <w:sz w:val="24"/>
          <w:szCs w:val="24"/>
        </w:rPr>
      </w:pPr>
      <w:r w:rsidRPr="00D01A72">
        <w:rPr>
          <w:rFonts w:ascii="宋体" w:eastAsia="宋体" w:hAnsi="宋体" w:cs="宋体" w:hint="eastAsia"/>
          <w:b/>
          <w:sz w:val="24"/>
          <w:szCs w:val="24"/>
        </w:rPr>
        <w:t>背景技术</w:t>
      </w:r>
    </w:p>
    <w:p w14:paraId="190D168F" w14:textId="4B5566E4" w:rsidR="00D01A72" w:rsidRPr="00D01A72" w:rsidRDefault="00D01A72" w:rsidP="00D01A72">
      <w:pPr>
        <w:autoSpaceDE w:val="0"/>
        <w:autoSpaceDN w:val="0"/>
        <w:adjustRightInd w:val="0"/>
        <w:spacing w:after="160" w:line="360" w:lineRule="auto"/>
        <w:ind w:firstLineChars="200" w:firstLine="480"/>
        <w:rPr>
          <w:rFonts w:ascii="宋体" w:eastAsia="宋体" w:hAnsi="宋体" w:cs="宋体" w:hint="eastAsia"/>
          <w:sz w:val="24"/>
          <w:szCs w:val="24"/>
        </w:rPr>
      </w:pPr>
      <w:r w:rsidRPr="00D01A72">
        <w:rPr>
          <w:rFonts w:ascii="宋体" w:eastAsia="宋体" w:hAnsi="宋体" w:cs="宋体" w:hint="eastAsia"/>
          <w:sz w:val="24"/>
          <w:szCs w:val="24"/>
        </w:rPr>
        <w:t>在模数转换器（ADC）中，基准电压源的精度、噪声、稳定性和驱动能力是影响模数转换器有效位数的重要因素，基准电压源可以使用外接的单片集成电路，也可以将基准源集成在</w:t>
      </w:r>
      <w:proofErr w:type="spellStart"/>
      <w:r w:rsidRPr="00D01A72">
        <w:rPr>
          <w:rFonts w:ascii="宋体" w:eastAsia="宋体" w:hAnsi="宋体" w:cs="宋体" w:hint="eastAsia"/>
          <w:sz w:val="24"/>
          <w:szCs w:val="24"/>
        </w:rPr>
        <w:t>ADC</w:t>
      </w:r>
      <w:proofErr w:type="spellEnd"/>
      <w:r w:rsidRPr="00D01A72">
        <w:rPr>
          <w:rFonts w:ascii="宋体" w:eastAsia="宋体" w:hAnsi="宋体" w:cs="宋体" w:hint="eastAsia"/>
          <w:sz w:val="24"/>
          <w:szCs w:val="24"/>
        </w:rPr>
        <w:t>内部。外接的基准电压源精度高，适用于高精度的ADC中；内置的集成基准电压源精度相比外接的基准电压源，精度低但稳定性更高，更能适用于微型化应用场合，比如生物传感芯片、物联网传感芯片等等。</w:t>
      </w:r>
    </w:p>
    <w:p w14:paraId="0CBADA22" w14:textId="42DB1E8C" w:rsidR="0053306A" w:rsidRPr="00D77D54" w:rsidRDefault="00D01A72" w:rsidP="0053306A">
      <w:pPr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实用新型</w:t>
      </w:r>
      <w:r w:rsidR="0053306A" w:rsidRPr="00D77D54">
        <w:rPr>
          <w:rFonts w:ascii="Times New Roman" w:hAnsi="Times New Roman"/>
          <w:b/>
          <w:sz w:val="24"/>
          <w:szCs w:val="24"/>
        </w:rPr>
        <w:t>内容</w:t>
      </w:r>
    </w:p>
    <w:p w14:paraId="3BAF42DC" w14:textId="77777777" w:rsidR="00D01A72" w:rsidRPr="00D01A72" w:rsidRDefault="00D01A72" w:rsidP="00D01A72">
      <w:pPr>
        <w:spacing w:after="160"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D01A72">
        <w:rPr>
          <w:rFonts w:ascii="宋体" w:eastAsia="宋体" w:hAnsi="宋体" w:cs="宋体" w:hint="eastAsia"/>
          <w:sz w:val="24"/>
          <w:szCs w:val="24"/>
        </w:rPr>
        <w:t>本实用新型提供了一种高精度、低温度系数的带隙基准电压源，该基准电压源采用了高阶温度补偿技术以获得较低的温度系数，选用折叠式共源共栅运算放大器以提高基准电压的精度。该基准电压源在-40℃至125℃范围内的温度系数为3.6ppm/℃到5.0ppm/℃之间，初始精度误差在0.03%以内</w:t>
      </w:r>
      <w:bookmarkStart w:id="0" w:name="OLE_LINK2"/>
      <w:r w:rsidRPr="00D01A72">
        <w:rPr>
          <w:rFonts w:ascii="宋体" w:eastAsia="宋体" w:hAnsi="宋体" w:cs="宋体" w:hint="eastAsia"/>
          <w:sz w:val="24"/>
          <w:szCs w:val="24"/>
        </w:rPr>
        <w:t>。</w:t>
      </w:r>
      <w:bookmarkEnd w:id="0"/>
      <w:r w:rsidRPr="00D01A72">
        <w:rPr>
          <w:rFonts w:ascii="宋体" w:eastAsia="宋体" w:hAnsi="宋体" w:cs="宋体" w:hint="eastAsia"/>
          <w:sz w:val="24"/>
          <w:szCs w:val="24"/>
        </w:rPr>
        <w:t>本实用新型具有高精度、低温度系数的特点，可适用于电容电压转换电路中。</w:t>
      </w:r>
    </w:p>
    <w:p w14:paraId="4DA4C338" w14:textId="77777777" w:rsidR="00D01A72" w:rsidRPr="00D01A72" w:rsidRDefault="00D01A72" w:rsidP="00D01A72">
      <w:pPr>
        <w:spacing w:after="160" w:line="360" w:lineRule="auto"/>
        <w:ind w:firstLineChars="200" w:firstLine="480"/>
        <w:rPr>
          <w:rFonts w:ascii="宋体" w:eastAsia="宋体" w:hAnsi="宋体" w:cs="宋体" w:hint="eastAsia"/>
          <w:sz w:val="24"/>
          <w:szCs w:val="24"/>
        </w:rPr>
      </w:pPr>
      <w:r w:rsidRPr="00D01A72">
        <w:rPr>
          <w:rFonts w:ascii="宋体" w:eastAsia="宋体" w:hAnsi="宋体" w:cs="宋体" w:hint="eastAsia"/>
          <w:sz w:val="24"/>
          <w:szCs w:val="24"/>
        </w:rPr>
        <w:t>本实用新型主要包括了带隙基准核心电路、折叠式共源共栅运算放大器OPA和启动电路。带隙基准核心电路能产生一个高精度、低温度系数的基准电压V</w:t>
      </w:r>
      <w:r w:rsidRPr="00D01A72">
        <w:rPr>
          <w:rFonts w:ascii="宋体" w:eastAsia="宋体" w:hAnsi="宋体" w:cs="宋体" w:hint="eastAsia"/>
          <w:sz w:val="24"/>
          <w:szCs w:val="24"/>
          <w:vertAlign w:val="subscript"/>
        </w:rPr>
        <w:t>REF</w:t>
      </w:r>
      <w:r w:rsidRPr="00D01A72">
        <w:rPr>
          <w:rFonts w:ascii="宋体" w:eastAsia="宋体" w:hAnsi="宋体" w:cs="宋体" w:hint="eastAsia"/>
          <w:sz w:val="24"/>
          <w:szCs w:val="24"/>
        </w:rPr>
        <w:t>；折叠式共源共栅运算放大器电路</w:t>
      </w:r>
      <w:proofErr w:type="gramStart"/>
      <w:r w:rsidRPr="00D01A72">
        <w:rPr>
          <w:rFonts w:ascii="宋体" w:eastAsia="宋体" w:hAnsi="宋体" w:cs="宋体" w:hint="eastAsia"/>
          <w:sz w:val="24"/>
          <w:szCs w:val="24"/>
        </w:rPr>
        <w:t>可钳位两点</w:t>
      </w:r>
      <w:proofErr w:type="gramEnd"/>
      <w:r w:rsidRPr="00D01A72">
        <w:rPr>
          <w:rFonts w:ascii="宋体" w:eastAsia="宋体" w:hAnsi="宋体" w:cs="宋体" w:hint="eastAsia"/>
          <w:sz w:val="24"/>
          <w:szCs w:val="24"/>
        </w:rPr>
        <w:t>电压，提高带隙基准源的性能；启动电路确保带隙基准核心电路正常工作。</w:t>
      </w:r>
    </w:p>
    <w:p w14:paraId="20D0EC99" w14:textId="6EA51BDC" w:rsidR="000D4A67" w:rsidRPr="00D01A72" w:rsidRDefault="000D4A67" w:rsidP="0053306A"/>
    <w:sectPr w:rsidR="000D4A67" w:rsidRPr="00D01A72" w:rsidSect="0068593B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5B0CFF" w14:textId="77777777" w:rsidR="00D47BB0" w:rsidRDefault="00D47BB0" w:rsidP="0068593B">
      <w:r>
        <w:separator/>
      </w:r>
    </w:p>
  </w:endnote>
  <w:endnote w:type="continuationSeparator" w:id="0">
    <w:p w14:paraId="2CF9CF45" w14:textId="77777777" w:rsidR="00D47BB0" w:rsidRDefault="00D47BB0" w:rsidP="00685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C81A0" w14:textId="77777777" w:rsidR="00D47BB0" w:rsidRDefault="00D47BB0" w:rsidP="0068593B">
      <w:r>
        <w:separator/>
      </w:r>
    </w:p>
  </w:footnote>
  <w:footnote w:type="continuationSeparator" w:id="0">
    <w:p w14:paraId="14548542" w14:textId="77777777" w:rsidR="00D47BB0" w:rsidRDefault="00D47BB0" w:rsidP="006859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496D"/>
    <w:rsid w:val="00025F7C"/>
    <w:rsid w:val="00086FE4"/>
    <w:rsid w:val="00096DDD"/>
    <w:rsid w:val="000D4A67"/>
    <w:rsid w:val="000D524F"/>
    <w:rsid w:val="0010775B"/>
    <w:rsid w:val="001B16AD"/>
    <w:rsid w:val="001E206D"/>
    <w:rsid w:val="00227E44"/>
    <w:rsid w:val="00245F8B"/>
    <w:rsid w:val="002471E4"/>
    <w:rsid w:val="00304999"/>
    <w:rsid w:val="00360234"/>
    <w:rsid w:val="00371580"/>
    <w:rsid w:val="003E0AB2"/>
    <w:rsid w:val="003E2E4B"/>
    <w:rsid w:val="00421187"/>
    <w:rsid w:val="00434BF9"/>
    <w:rsid w:val="0053306A"/>
    <w:rsid w:val="005A713B"/>
    <w:rsid w:val="00631BBE"/>
    <w:rsid w:val="00664224"/>
    <w:rsid w:val="0068539F"/>
    <w:rsid w:val="0068593B"/>
    <w:rsid w:val="00694649"/>
    <w:rsid w:val="0070096C"/>
    <w:rsid w:val="00712815"/>
    <w:rsid w:val="007132B1"/>
    <w:rsid w:val="00732172"/>
    <w:rsid w:val="00760859"/>
    <w:rsid w:val="007E496D"/>
    <w:rsid w:val="00855292"/>
    <w:rsid w:val="00860164"/>
    <w:rsid w:val="0088594A"/>
    <w:rsid w:val="009A2146"/>
    <w:rsid w:val="00A44548"/>
    <w:rsid w:val="00A66D28"/>
    <w:rsid w:val="00A974CE"/>
    <w:rsid w:val="00AD4B02"/>
    <w:rsid w:val="00B05A04"/>
    <w:rsid w:val="00B07115"/>
    <w:rsid w:val="00B118F3"/>
    <w:rsid w:val="00B12E6A"/>
    <w:rsid w:val="00B30344"/>
    <w:rsid w:val="00B40F83"/>
    <w:rsid w:val="00BC5BF9"/>
    <w:rsid w:val="00C13186"/>
    <w:rsid w:val="00C26F8A"/>
    <w:rsid w:val="00C35713"/>
    <w:rsid w:val="00D01A72"/>
    <w:rsid w:val="00D140E5"/>
    <w:rsid w:val="00D47BB0"/>
    <w:rsid w:val="00DB4F40"/>
    <w:rsid w:val="00EA637E"/>
    <w:rsid w:val="00F44AE2"/>
    <w:rsid w:val="178C749F"/>
    <w:rsid w:val="214A7F84"/>
    <w:rsid w:val="2BC84A3E"/>
    <w:rsid w:val="3B306A7D"/>
    <w:rsid w:val="43CC72AC"/>
    <w:rsid w:val="717C0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48B719"/>
  <w15:docId w15:val="{8CFEDF69-C2FC-4E62-AA82-5E9FF3978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paragraph" w:customStyle="1" w:styleId="1">
    <w:name w:val="正文1"/>
    <w:qFormat/>
    <w:pPr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kern w:val="2"/>
      <w:sz w:val="21"/>
      <w:szCs w:val="21"/>
    </w:rPr>
  </w:style>
  <w:style w:type="character" w:customStyle="1" w:styleId="zi101">
    <w:name w:val="zi_101"/>
    <w:qFormat/>
    <w:rPr>
      <w:rFonts w:ascii="Verdana" w:hAnsi="Verdana" w:hint="default"/>
      <w:snapToGrid/>
      <w:color w:val="C9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81</Words>
  <Characters>467</Characters>
  <Application>Microsoft Office Word</Application>
  <DocSecurity>0</DocSecurity>
  <Lines>3</Lines>
  <Paragraphs>1</Paragraphs>
  <ScaleCrop>false</ScaleCrop>
  <Company>China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超波 蔡</cp:lastModifiedBy>
  <cp:revision>11</cp:revision>
  <dcterms:created xsi:type="dcterms:W3CDTF">2021-06-01T01:52:00Z</dcterms:created>
  <dcterms:modified xsi:type="dcterms:W3CDTF">2025-10-23T06:13:00Z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