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Times New Roman" w:hAnsi="Times New Roman" w:eastAsia="宋体" w:cs="Times New Roman"/>
          <w:sz w:val="24"/>
          <w:szCs w:val="24"/>
        </w:rPr>
      </w:pPr>
      <w:bookmarkStart w:id="0" w:name="_GoBack"/>
      <w:bookmarkEnd w:id="0"/>
      <w:r>
        <w:rPr>
          <w:rFonts w:hint="default" w:ascii="Times New Roman" w:hAnsi="Times New Roman" w:eastAsia="宋体" w:cs="Times New Roman"/>
          <w:b/>
          <w:sz w:val="24"/>
          <w:szCs w:val="24"/>
        </w:rPr>
        <w:t>附件：拟转让技术简介</w:t>
      </w:r>
    </w:p>
    <w:p>
      <w:pPr>
        <w:spacing w:line="360" w:lineRule="auto"/>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RNA组织冻存液与CCK-8检测试剂盒</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基于生物样本稳定化保存技术与高精度细胞活性光度检测技术，分别实现动物组织样本中RNA的常温稳定保存以及细胞增殖与毒性的高通量精准定量检测，具有检测精准、性能稳定、操作简便、通量高等优点。</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一、RNA组织冻存液相关技术</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（一）技术领域</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生物医药——生物样本保存与分子检测试剂。</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（二）背景技术</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组织样本离体后，内源性及外源性RNA酶会迅速降解RNA，RNA完整性明显下降，直接影响RT-qPCR、转录组测序（RNA-seq）等下游分子检测结果的可靠性。常规保存依赖液氮速冻或-80 ℃深低温冰箱，在野外采样、临床取样及样本长途寄送等场景中冷链成本高、操作不便，样本质量难以保证。</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（三）技术内容</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1.</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高渗透性配方体系：通过正交实验系统优化渗透剂类型、缓冲体系及pH范围，对肝、脑、肺等动物组织及</w:t>
      </w:r>
      <w:r>
        <w:rPr>
          <w:rFonts w:hint="default" w:ascii="Times New Roman" w:hAnsi="Times New Roman" w:eastAsia="宋体" w:cs="Times New Roman"/>
          <w:b w:val="0"/>
          <w:sz w:val="24"/>
          <w:szCs w:val="24"/>
          <w:lang w:val="en-US" w:eastAsia="zh-CN"/>
        </w:rPr>
        <w:t>相关</w:t>
      </w:r>
      <w:r>
        <w:rPr>
          <w:rFonts w:hint="default" w:ascii="Times New Roman" w:hAnsi="Times New Roman" w:eastAsia="宋体" w:cs="Times New Roman"/>
          <w:b w:val="0"/>
          <w:sz w:val="24"/>
          <w:szCs w:val="24"/>
        </w:rPr>
        <w:t>人源肿瘤组织均可快速渗透、均匀作用；</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2.</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组织样本经浸渍处理后，可在25 ℃条件下短期稳定保存、2～8 ℃条件下中期保存、-20 ℃及以下长期保存，无需液氮及深低温冷链即可维持RNA完整性；</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3.</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保存后的样本兼容总RNA提取、RT-qPCR、RNA-seq等下游分子检测流程，亦可满足石蜡切片制样前的组织前处理需求。</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二、CCK-8检测试剂盒相关技术</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（一）技术领域</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生物医药——细胞活性高通量精准定量检测试剂。</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（二）背景技术</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CCK-8法虽已成为细胞增殖与毒性检测的主流手段，但市售产品普遍存在性能短板：显色底物WST-8及电子载体体系易发生缓慢氧化降解，导致批次间活性波动、数据批间可比性差；显色体系稳定性不足，工作液加入后吸光度随孵育时间持续漂移，终点判断弹性小；低细胞密度下信噪比不足，对微量细胞的定量能力受限。上述问题在药物高通量筛选、细胞药物敏感性检测及生物材料生物相容性评价等对数据精度要求高的场景中尤为突出。</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（三）技术内容</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1.</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高稳定性底物体系：通过对WST-8与电子载体的组合优化及专用稳定剂体系设计，有效延缓底物氧化降解，显著延长2～8 ℃条件下的有效保存期，批次间活性高度一致，从原料层面保障检测数据的批间可比性与可追溯性；</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2.</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高精度定量能力：显色动力学经过系统优化，工作液加入后吸光度增长平稳、显色窗口宽，标准曲线线性相关系数可达0.99以上，批内与批间变异系数低，可满足高通量药物筛选对数据质量因子的严苛要求；</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rPr>
        <w:t>3.</w:t>
      </w:r>
      <w:r>
        <w:rPr>
          <w:rFonts w:hint="default" w:ascii="Times New Roman" w:hAnsi="Times New Roman" w:eastAsia="宋体" w:cs="Times New Roman"/>
          <w:b w:val="0"/>
          <w:sz w:val="24"/>
          <w:szCs w:val="24"/>
          <w:lang w:val="en-US" w:eastAsia="zh-CN"/>
        </w:rPr>
        <w:t xml:space="preserve"> </w:t>
      </w:r>
      <w:r>
        <w:rPr>
          <w:rFonts w:hint="default" w:ascii="Times New Roman" w:hAnsi="Times New Roman" w:eastAsia="宋体" w:cs="Times New Roman"/>
          <w:b w:val="0"/>
          <w:sz w:val="24"/>
          <w:szCs w:val="24"/>
        </w:rPr>
        <w:t>低背景宽动态范围：显色体系背景吸光度低、孔间均一性好，从微量细胞到高密度培养均可实现可靠定量，对少量细胞样本的检测灵敏度显著优于常规产品；</w:t>
      </w:r>
    </w:p>
    <w:p>
      <w:pPr>
        <w:spacing w:line="360" w:lineRule="auto"/>
        <w:rPr>
          <w:rFonts w:hint="default" w:ascii="Times New Roman" w:hAnsi="Times New Roman" w:eastAsia="宋体" w:cs="Times New Roman"/>
          <w:sz w:val="24"/>
          <w:szCs w:val="24"/>
          <w:lang w:val="en-US" w:eastAsia="zh-CN"/>
        </w:rPr>
      </w:pPr>
    </w:p>
    <w:sectPr>
      <w:footerReference r:id="rId5" w:type="default"/>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5N2QxM2RmODg2YjE3YjNiMzgyNGRmNWI4Y2VmMGIifQ=="/>
  </w:docVars>
  <w:rsids>
    <w:rsidRoot w:val="00B47730"/>
    <w:rsid w:val="00034616"/>
    <w:rsid w:val="0006063C"/>
    <w:rsid w:val="0015074B"/>
    <w:rsid w:val="0029639D"/>
    <w:rsid w:val="00326F90"/>
    <w:rsid w:val="00AA1D8D"/>
    <w:rsid w:val="00B47730"/>
    <w:rsid w:val="00CB0664"/>
    <w:rsid w:val="00FC693F"/>
    <w:rsid w:val="19467D07"/>
    <w:rsid w:val="440E0483"/>
    <w:rsid w:val="62F71652"/>
    <w:rsid w:val="7D9E67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autoRedefine/>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autoRedefine/>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970</Words>
  <Characters>1047</Characters>
  <Lines>0</Lines>
  <Paragraphs>0</Paragraphs>
  <TotalTime>3</TotalTime>
  <ScaleCrop>false</ScaleCrop>
  <LinksUpToDate>false</LinksUpToDate>
  <CharactersWithSpaces>1058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唐高毅</cp:lastModifiedBy>
  <dcterms:modified xsi:type="dcterms:W3CDTF">2026-09-24T01:56:35Z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eyJoZGlkIjoiMzEwNTM5NzYwMDRjMzkwZTVkZjY2ODkwMGIxNGU0OTUiLCJ1c2VySWQiOiIzODQzMDQxOTUifQ==</vt:lpwstr>
  </property>
  <property fmtid="{D5CDD505-2E9C-101B-9397-08002B2CF9AE}" pid="3" name="KSOProductBuildVer">
    <vt:lpwstr>2052-12.1.0.16399</vt:lpwstr>
  </property>
  <property fmtid="{D5CDD505-2E9C-101B-9397-08002B2CF9AE}" pid="4" name="ICV">
    <vt:lpwstr>28D6179D050D4C739CA1D28D4765B631_12</vt:lpwstr>
  </property>
</Properties>
</file>