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2F54E6">
      <w:pPr>
        <w:pStyle w:val="5"/>
        <w:spacing w:line="360" w:lineRule="auto"/>
        <w:jc w:val="both"/>
        <w:rPr>
          <w:rFonts w:hint="eastAsia" w:asciiTheme="majorEastAsia" w:hAnsiTheme="majorEastAsia" w:eastAsiaTheme="majorEastAsia"/>
          <w:b/>
          <w:sz w:val="24"/>
          <w:szCs w:val="24"/>
        </w:rPr>
      </w:pPr>
      <w:r>
        <w:rPr>
          <w:rFonts w:hint="eastAsia"/>
          <w:b/>
          <w:bCs/>
          <w:sz w:val="24"/>
          <w:szCs w:val="24"/>
        </w:rPr>
        <w:t>附件：</w:t>
      </w:r>
      <w:r>
        <w:rPr>
          <w:rFonts w:hint="eastAsia" w:asciiTheme="majorEastAsia" w:hAnsiTheme="majorEastAsia" w:eastAsiaTheme="majorEastAsia"/>
          <w:b/>
          <w:sz w:val="24"/>
          <w:szCs w:val="24"/>
        </w:rPr>
        <w:t>拟转让专利简介</w:t>
      </w:r>
    </w:p>
    <w:p w14:paraId="578B0FB8">
      <w:pPr>
        <w:pStyle w:val="5"/>
        <w:spacing w:line="360" w:lineRule="auto"/>
        <w:ind w:firstLine="480" w:firstLineChars="200"/>
        <w:rPr>
          <w:rFonts w:hint="eastAsia" w:asciiTheme="majorEastAsia" w:hAnsiTheme="majorEastAsia" w:eastAsiaTheme="majorEastAsia"/>
          <w:bCs/>
        </w:rPr>
      </w:pPr>
      <w:r>
        <w:rPr>
          <w:rFonts w:hint="eastAsia" w:asciiTheme="majorEastAsia" w:hAnsiTheme="majorEastAsia" w:eastAsiaTheme="majorEastAsia"/>
          <w:bCs/>
        </w:rPr>
        <w:t>本发明公开一种基于蒸馏的半监督联邦学习的个性化模型的训练方法,采用知识蒸馏技术,客户端通过上传模型预测而不是模型参数,使得每个客户端可以选择自己设计的模型架构,很好地保护了客户端关于模型的隐私信息,而利用共享数据与客户端的本地数据一起进行训练,极大地提高模型的泛化能力。此外,聚合方案能根据每个客户端提供知识的重要程度来进行动态聚合,使聚合的模型预测更好地融合了客户端的模型知识。服务器聚合完成后,回传给客户端的不是公共数据的模型预测分布信息而是伪标签信息,利用这种方式进一步地提高了通信传输效率。</w:t>
      </w:r>
    </w:p>
    <w:p w14:paraId="1EBB73B2">
      <w:pPr>
        <w:adjustRightInd w:val="0"/>
        <w:snapToGrid w:val="0"/>
        <w:spacing w:line="400" w:lineRule="exact"/>
        <w:rPr>
          <w:rFonts w:ascii="宋体" w:hAnsi="宋体"/>
          <w:b/>
          <w:bCs/>
          <w:color w:val="000000"/>
          <w:sz w:val="21"/>
          <w:szCs w:val="21"/>
        </w:rPr>
      </w:pPr>
      <w:r>
        <w:rPr>
          <w:rFonts w:hint="eastAsia" w:ascii="宋体" w:hAnsi="宋体"/>
          <w:b/>
          <w:bCs/>
          <w:color w:val="000000"/>
          <w:sz w:val="21"/>
          <w:szCs w:val="21"/>
          <w:lang w:val="en-US" w:eastAsia="zh-CN"/>
        </w:rPr>
        <w:t>一、</w:t>
      </w:r>
      <w:r>
        <w:rPr>
          <w:rFonts w:ascii="宋体" w:hAnsi="宋体"/>
          <w:b/>
          <w:bCs/>
          <w:color w:val="000000"/>
          <w:sz w:val="21"/>
          <w:szCs w:val="21"/>
        </w:rPr>
        <w:t>技术领域</w:t>
      </w:r>
    </w:p>
    <w:p w14:paraId="06C39179">
      <w:pPr>
        <w:adjustRightInd w:val="0"/>
        <w:snapToGrid w:val="0"/>
        <w:spacing w:line="400" w:lineRule="exact"/>
        <w:ind w:firstLine="420" w:firstLineChars="200"/>
        <w:rPr>
          <w:rFonts w:hint="eastAsia" w:ascii="宋体" w:hAnsi="宋体"/>
          <w:color w:val="000000"/>
          <w:szCs w:val="21"/>
        </w:rPr>
      </w:pPr>
      <w:r>
        <w:rPr>
          <w:rFonts w:hint="eastAsia" w:ascii="宋体" w:hAnsi="宋体"/>
          <w:color w:val="000000"/>
          <w:szCs w:val="21"/>
        </w:rPr>
        <w:t>本发明涉及联邦学习技术领域，具体涉及一种基于蒸馏的半监督联邦学习的个性化模型的训练方法。</w:t>
      </w:r>
    </w:p>
    <w:p w14:paraId="6DB5A9EB">
      <w:pPr>
        <w:adjustRightInd w:val="0"/>
        <w:snapToGrid w:val="0"/>
        <w:spacing w:line="400" w:lineRule="exact"/>
        <w:ind w:firstLine="420" w:firstLineChars="200"/>
        <w:rPr>
          <w:rFonts w:hint="eastAsia" w:ascii="宋体" w:hAnsi="宋体"/>
          <w:color w:val="000000"/>
          <w:szCs w:val="21"/>
        </w:rPr>
      </w:pPr>
    </w:p>
    <w:p w14:paraId="2EBDEE36">
      <w:pPr>
        <w:adjustRightInd w:val="0"/>
        <w:snapToGrid w:val="0"/>
        <w:spacing w:line="400" w:lineRule="exact"/>
        <w:rPr>
          <w:rFonts w:ascii="宋体" w:hAnsi="宋体"/>
          <w:color w:val="000000"/>
          <w:sz w:val="21"/>
          <w:szCs w:val="21"/>
        </w:rPr>
      </w:pPr>
      <w:r>
        <w:rPr>
          <w:rFonts w:hint="eastAsia" w:ascii="宋体" w:hAnsi="宋体"/>
          <w:b/>
          <w:bCs/>
          <w:color w:val="000000"/>
          <w:sz w:val="21"/>
          <w:szCs w:val="21"/>
          <w:lang w:val="en-US" w:eastAsia="zh-CN"/>
        </w:rPr>
        <w:t>二、</w:t>
      </w:r>
      <w:r>
        <w:rPr>
          <w:rFonts w:ascii="宋体" w:hAnsi="宋体"/>
          <w:b/>
          <w:bCs/>
          <w:color w:val="000000"/>
          <w:sz w:val="21"/>
          <w:szCs w:val="21"/>
        </w:rPr>
        <w:t>背景技术</w:t>
      </w:r>
      <w:bookmarkStart w:id="0" w:name="_GoBack"/>
      <w:bookmarkEnd w:id="0"/>
    </w:p>
    <w:p w14:paraId="042E8DA6">
      <w:pPr>
        <w:adjustRightInd w:val="0"/>
        <w:snapToGrid w:val="0"/>
        <w:spacing w:line="360" w:lineRule="auto"/>
        <w:ind w:firstLine="420" w:firstLineChars="200"/>
        <w:rPr>
          <w:rFonts w:hint="eastAsia" w:ascii="宋体" w:hAnsi="宋体"/>
          <w:color w:val="000000"/>
          <w:szCs w:val="21"/>
        </w:rPr>
      </w:pPr>
      <w:r>
        <w:rPr>
          <w:rFonts w:hint="default" w:ascii="宋体" w:hAnsi="宋体"/>
          <w:color w:val="000000"/>
          <w:szCs w:val="21"/>
        </w:rPr>
        <w:t>联邦学习在保证一组客户端不上传本地数据集的前提下协同训练一个全局模型，每个用户只能访问自己的数据，从而保护了参与训练用户的隐私。联邦学习因为其优势在医学、金融和人工智能等行业有着广泛的应用前景，是最近几年的研究热点。然而联邦学习侧重于通过学习所有参与客户机的本地数据来获得高质量的全局模型，但由于现实场景中每个客户端的数据是异质的，当面临数据异质性问题，它无法训练出一个适用于所有客户端的全局模型。</w:t>
      </w:r>
    </w:p>
    <w:p w14:paraId="414126CD">
      <w:pPr>
        <w:adjustRightInd w:val="0"/>
        <w:snapToGrid w:val="0"/>
        <w:spacing w:line="360" w:lineRule="auto"/>
        <w:ind w:firstLine="420" w:firstLineChars="200"/>
        <w:rPr>
          <w:rFonts w:hint="default" w:ascii="宋体" w:hAnsi="宋体"/>
          <w:color w:val="000000"/>
          <w:szCs w:val="21"/>
        </w:rPr>
      </w:pPr>
      <w:r>
        <w:rPr>
          <w:rFonts w:hint="default" w:ascii="宋体" w:hAnsi="宋体"/>
          <w:color w:val="000000"/>
          <w:szCs w:val="21"/>
        </w:rPr>
        <w:t>使用知识蒸馏技术能够有效的解决联邦学习中的模型异构性问题，激起了大量学者的研究兴趣。知识蒸馏技术的主要思想是将复杂的教师网络的输出作为知识传给学生网络，使得学生网络在训练的过程中不仅能够学习数据真实标签的信息还能学习不同标签之间关系的信息，从而转换成一个精简的学生网络，这里的网络输出对应了相应类别的概率值。其中，教师模型和学生模型是两种不同的网络架构。因此将知识蒸馏技术应用到联邦学习中可以解决模型异构性问题。</w:t>
      </w:r>
    </w:p>
    <w:p w14:paraId="5C3B07FB">
      <w:pPr>
        <w:adjustRightInd w:val="0"/>
        <w:snapToGrid w:val="0"/>
        <w:spacing w:line="360" w:lineRule="auto"/>
        <w:ind w:firstLine="420" w:firstLineChars="200"/>
        <w:rPr>
          <w:rFonts w:hint="eastAsia" w:ascii="宋体" w:hAnsi="宋体"/>
          <w:b/>
          <w:bCs/>
          <w:color w:val="000000"/>
          <w:sz w:val="21"/>
          <w:szCs w:val="21"/>
        </w:rPr>
      </w:pPr>
      <w:r>
        <w:rPr>
          <w:rFonts w:hint="default" w:ascii="宋体" w:hAnsi="宋体"/>
          <w:color w:val="000000"/>
          <w:szCs w:val="21"/>
        </w:rPr>
        <w:t>然而，将知识蒸馏技术应用到联邦学习中必须要保证在同一个数据集上进行蒸馏，而联邦学习中各个客户端的本地数据都不同，因此怎么在客户端上构造相同的数据集实现蒸馏是一个难题。在联邦学习中，拥有不同数据的客户端由于数据质量参差不齐导致模型输出所提供知识的重要程度不同，所以简单地对其进行平均并不是一种有效的聚合方法。此外，在现实中，由于每个参与方(例如医院)本地拥有大量的无标签数据，而有标记数据却很少，因此在满足隐私保护的约束和半监督场景下，如何为每个客户端训练一个适合的模型(包括模型性能和模型框架)，是一个亟待解决的问题。</w:t>
      </w:r>
    </w:p>
    <w:p w14:paraId="6586E92A">
      <w:pPr>
        <w:adjustRightInd w:val="0"/>
        <w:snapToGrid w:val="0"/>
        <w:spacing w:line="360" w:lineRule="auto"/>
        <w:rPr>
          <w:rFonts w:hint="eastAsia" w:ascii="宋体" w:hAnsi="宋体"/>
          <w:b/>
          <w:bCs/>
          <w:color w:val="000000"/>
          <w:sz w:val="21"/>
          <w:szCs w:val="21"/>
        </w:rPr>
      </w:pPr>
    </w:p>
    <w:p w14:paraId="40E4E3A3">
      <w:pPr>
        <w:adjustRightInd w:val="0"/>
        <w:snapToGrid w:val="0"/>
        <w:spacing w:line="360" w:lineRule="auto"/>
        <w:rPr>
          <w:rFonts w:ascii="宋体" w:hAnsi="宋体"/>
          <w:b/>
          <w:bCs/>
          <w:color w:val="000000"/>
          <w:sz w:val="21"/>
          <w:szCs w:val="21"/>
        </w:rPr>
      </w:pPr>
      <w:r>
        <w:rPr>
          <w:rFonts w:hint="eastAsia" w:ascii="宋体" w:hAnsi="宋体"/>
          <w:b/>
          <w:bCs/>
          <w:color w:val="000000"/>
          <w:sz w:val="21"/>
          <w:szCs w:val="21"/>
          <w:lang w:val="en-US" w:eastAsia="zh-CN"/>
        </w:rPr>
        <w:t>三、</w:t>
      </w:r>
      <w:r>
        <w:rPr>
          <w:rFonts w:hint="eastAsia" w:ascii="宋体" w:hAnsi="宋体"/>
          <w:b/>
          <w:bCs/>
          <w:color w:val="000000"/>
          <w:sz w:val="21"/>
          <w:szCs w:val="21"/>
        </w:rPr>
        <w:t>发明</w:t>
      </w:r>
      <w:r>
        <w:rPr>
          <w:rFonts w:ascii="宋体" w:hAnsi="宋体"/>
          <w:b/>
          <w:bCs/>
          <w:color w:val="000000"/>
          <w:sz w:val="21"/>
          <w:szCs w:val="21"/>
        </w:rPr>
        <w:t>内容</w:t>
      </w:r>
    </w:p>
    <w:p w14:paraId="6CF90533">
      <w:pPr>
        <w:adjustRightInd w:val="0"/>
        <w:snapToGrid w:val="0"/>
        <w:spacing w:line="360" w:lineRule="auto"/>
        <w:ind w:firstLine="420" w:firstLineChars="200"/>
        <w:rPr>
          <w:rFonts w:hint="default" w:ascii="宋体" w:hAnsi="宋体"/>
          <w:color w:val="000000"/>
          <w:szCs w:val="21"/>
        </w:rPr>
      </w:pPr>
      <w:r>
        <w:rPr>
          <w:rFonts w:hint="default" w:ascii="宋体" w:hAnsi="宋体"/>
          <w:color w:val="000000"/>
          <w:szCs w:val="21"/>
        </w:rPr>
        <w:t>本发明所要解决的是在联邦学习半监督场景下的数据异质性和模型异质性问题，提供一种基于蒸馏的半监督联邦学习的个性化模型的训练方法。</w:t>
      </w:r>
    </w:p>
    <w:p w14:paraId="716DE62A">
      <w:pPr>
        <w:adjustRightInd w:val="0"/>
        <w:snapToGrid w:val="0"/>
        <w:spacing w:line="360" w:lineRule="auto"/>
        <w:ind w:firstLine="420" w:firstLineChars="200"/>
        <w:rPr>
          <w:rFonts w:hint="default" w:ascii="宋体" w:hAnsi="宋体"/>
          <w:color w:val="000000"/>
          <w:szCs w:val="21"/>
        </w:rPr>
      </w:pPr>
      <w:r>
        <w:rPr>
          <w:rFonts w:hint="default" w:ascii="宋体" w:hAnsi="宋体"/>
          <w:color w:val="000000"/>
          <w:szCs w:val="21"/>
        </w:rPr>
        <w:t>为解决上述问题，本发明是通过以下技术方案实现的：</w:t>
      </w:r>
    </w:p>
    <w:p w14:paraId="0B757D36">
      <w:pPr>
        <w:adjustRightInd w:val="0"/>
        <w:snapToGrid w:val="0"/>
        <w:spacing w:line="360" w:lineRule="auto"/>
        <w:ind w:firstLine="420" w:firstLineChars="200"/>
        <w:rPr>
          <w:rFonts w:hint="default" w:ascii="宋体" w:hAnsi="宋体"/>
          <w:color w:val="000000"/>
          <w:szCs w:val="21"/>
        </w:rPr>
      </w:pPr>
      <w:r>
        <w:rPr>
          <w:rFonts w:hint="default" w:ascii="宋体" w:hAnsi="宋体"/>
          <w:color w:val="000000"/>
          <w:szCs w:val="21"/>
        </w:rPr>
        <w:t>基于蒸馏的半监督联邦学习的个性化模型的训练方法，包括步骤如下：</w:t>
      </w:r>
    </w:p>
    <w:p w14:paraId="6708FCE2">
      <w:pPr>
        <w:adjustRightInd w:val="0"/>
        <w:snapToGrid w:val="0"/>
        <w:spacing w:line="360" w:lineRule="auto"/>
        <w:ind w:firstLine="420" w:firstLineChars="200"/>
        <w:rPr>
          <w:rFonts w:hint="default" w:ascii="宋体" w:hAnsi="宋体"/>
          <w:color w:val="000000"/>
          <w:szCs w:val="21"/>
        </w:rPr>
      </w:pPr>
      <w:r>
        <w:rPr>
          <w:rFonts w:hint="default" w:ascii="宋体" w:hAnsi="宋体"/>
          <w:color w:val="000000"/>
          <w:szCs w:val="21"/>
        </w:rPr>
        <w:t>步骤1、每个客户端分别使用自己的无标签本地数据集训练一个对抗生成网络，并将对抗生成网络及其采样噪声的种子上传至中心服务器；中心服务器先利用每个客户端的对抗生成网络及其采样噪声的种子生成每个客户端的无标签合成样本，再从所有客户端的无标签合成样本中选择一部分作为无标签共享数据集；所有客户端从中心服务器上下载无标签共享数据集；</w:t>
      </w:r>
    </w:p>
    <w:p w14:paraId="1D66B3B2">
      <w:pPr>
        <w:adjustRightInd w:val="0"/>
        <w:snapToGrid w:val="0"/>
        <w:spacing w:line="360" w:lineRule="auto"/>
        <w:ind w:firstLine="420" w:firstLineChars="200"/>
        <w:rPr>
          <w:rFonts w:hint="default" w:ascii="宋体" w:hAnsi="宋体"/>
          <w:color w:val="000000"/>
          <w:szCs w:val="21"/>
        </w:rPr>
      </w:pPr>
      <w:r>
        <w:rPr>
          <w:rFonts w:hint="default" w:ascii="宋体" w:hAnsi="宋体"/>
          <w:color w:val="000000"/>
          <w:szCs w:val="21"/>
        </w:rPr>
        <w:t>步骤2、令当前轮次t＝1，中心服务器从所有客户端中选择一部分客户端作为参与方进行协同训练；在协同训练过程中，每个参与方分别先利用自己的有标签本地数据集和无标签本地数据集对自己的本地神经网络模型进行半监督训练，得到本轮训练的本地神经网络模型；再利用本轮训练的本地神经网络模型对无标签共享数据集进行预测，得到每个参与方在第t轮次的模型预测矩阵；</w:t>
      </w:r>
    </w:p>
    <w:p w14:paraId="108D253A">
      <w:pPr>
        <w:adjustRightInd w:val="0"/>
        <w:snapToGrid w:val="0"/>
        <w:spacing w:line="360" w:lineRule="auto"/>
        <w:ind w:firstLine="420" w:firstLineChars="200"/>
        <w:rPr>
          <w:rFonts w:hint="default" w:ascii="宋体" w:hAnsi="宋体"/>
          <w:color w:val="000000"/>
          <w:szCs w:val="21"/>
        </w:rPr>
      </w:pPr>
      <w:r>
        <w:rPr>
          <w:rFonts w:hint="default" w:ascii="宋体" w:hAnsi="宋体"/>
          <w:color w:val="000000"/>
          <w:szCs w:val="21"/>
        </w:rPr>
        <w:t>步骤3、中心服务器先计算第t轮次的聚合模型预测矩阵，再从第t轮次的聚合模型预测矩阵中挑选挑选概率最大的类别标签作为伪标签，后将伪标签传回给所有的客户端；</w:t>
      </w:r>
    </w:p>
    <w:p w14:paraId="4D4B7CA5">
      <w:pPr>
        <w:adjustRightInd w:val="0"/>
        <w:snapToGrid w:val="0"/>
        <w:spacing w:line="360" w:lineRule="auto"/>
        <w:ind w:firstLine="420" w:firstLineChars="200"/>
        <w:rPr>
          <w:rFonts w:hint="eastAsia" w:ascii="宋体" w:hAnsi="宋体" w:eastAsiaTheme="minorEastAsia"/>
          <w:color w:val="000000"/>
          <w:szCs w:val="21"/>
          <w:lang w:eastAsia="zh-CN"/>
        </w:rPr>
      </w:pPr>
      <w:r>
        <w:rPr>
          <w:rFonts w:hint="eastAsia" w:ascii="宋体" w:hAnsi="宋体" w:eastAsiaTheme="minorEastAsia"/>
          <w:color w:val="000000"/>
          <w:szCs w:val="21"/>
          <w:lang w:eastAsia="zh-CN"/>
        </w:rPr>
        <w:drawing>
          <wp:inline distT="0" distB="0" distL="114300" distR="114300">
            <wp:extent cx="3810000" cy="1152525"/>
            <wp:effectExtent l="0" t="0" r="0" b="9525"/>
            <wp:docPr id="1" name="图片 1" descr="WXWorkLocal_17767387093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WXWorkLocal_17767387093282"/>
                    <pic:cNvPicPr>
                      <a:picLocks noChangeAspect="1"/>
                    </pic:cNvPicPr>
                  </pic:nvPicPr>
                  <pic:blipFill>
                    <a:blip r:embed="rId4"/>
                    <a:stretch>
                      <a:fillRect/>
                    </a:stretch>
                  </pic:blipFill>
                  <pic:spPr>
                    <a:xfrm>
                      <a:off x="0" y="0"/>
                      <a:ext cx="3810000" cy="1152525"/>
                    </a:xfrm>
                    <a:prstGeom prst="rect">
                      <a:avLst/>
                    </a:prstGeom>
                  </pic:spPr>
                </pic:pic>
              </a:graphicData>
            </a:graphic>
          </wp:inline>
        </w:drawing>
      </w:r>
    </w:p>
    <w:p w14:paraId="64F245E5">
      <w:pPr>
        <w:adjustRightInd w:val="0"/>
        <w:snapToGrid w:val="0"/>
        <w:spacing w:line="360" w:lineRule="auto"/>
        <w:ind w:firstLine="420" w:firstLineChars="200"/>
        <w:rPr>
          <w:rFonts w:hint="default" w:ascii="宋体" w:hAnsi="宋体"/>
          <w:color w:val="000000"/>
          <w:szCs w:val="21"/>
        </w:rPr>
      </w:pPr>
    </w:p>
    <w:p w14:paraId="120E71DF">
      <w:pPr>
        <w:adjustRightInd w:val="0"/>
        <w:snapToGrid w:val="0"/>
        <w:spacing w:line="360" w:lineRule="auto"/>
        <w:ind w:firstLine="420" w:firstLineChars="200"/>
        <w:rPr>
          <w:rFonts w:hint="default" w:ascii="宋体" w:hAnsi="宋体"/>
          <w:color w:val="000000"/>
          <w:szCs w:val="21"/>
        </w:rPr>
      </w:pPr>
      <w:r>
        <w:rPr>
          <w:rFonts w:hint="eastAsia" w:ascii="宋体" w:hAnsi="宋体"/>
          <w:color w:val="000000"/>
          <w:szCs w:val="21"/>
          <w:lang w:val="en-US" w:eastAsia="zh-CN"/>
        </w:rPr>
        <w:t xml:space="preserve"> </w:t>
      </w:r>
      <w:r>
        <w:rPr>
          <w:rFonts w:hint="default" w:ascii="宋体" w:hAnsi="宋体"/>
          <w:color w:val="000000"/>
          <w:szCs w:val="21"/>
        </w:rPr>
        <w:drawing>
          <wp:inline distT="0" distB="0" distL="114300" distR="114300">
            <wp:extent cx="4911725" cy="277495"/>
            <wp:effectExtent l="0" t="0" r="0" b="0"/>
            <wp:docPr id="3" name="图片 3" descr="WXWorkLocal_1776739275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WXWorkLocal_1776739275492"/>
                    <pic:cNvPicPr>
                      <a:picLocks noChangeAspect="1"/>
                    </pic:cNvPicPr>
                  </pic:nvPicPr>
                  <pic:blipFill>
                    <a:blip r:embed="rId5"/>
                    <a:srcRect b="11717"/>
                    <a:stretch>
                      <a:fillRect/>
                    </a:stretch>
                  </pic:blipFill>
                  <pic:spPr>
                    <a:xfrm>
                      <a:off x="0" y="0"/>
                      <a:ext cx="4911725" cy="277495"/>
                    </a:xfrm>
                    <a:prstGeom prst="rect">
                      <a:avLst/>
                    </a:prstGeom>
                  </pic:spPr>
                </pic:pic>
              </a:graphicData>
            </a:graphic>
          </wp:inline>
        </w:drawing>
      </w:r>
    </w:p>
    <w:p w14:paraId="57DA5EAA">
      <w:pPr>
        <w:adjustRightInd w:val="0"/>
        <w:snapToGrid w:val="0"/>
        <w:spacing w:line="360" w:lineRule="auto"/>
        <w:ind w:firstLine="420" w:firstLineChars="200"/>
        <w:rPr>
          <w:rFonts w:hint="eastAsia" w:ascii="宋体" w:hAnsi="宋体" w:eastAsiaTheme="minorEastAsia"/>
          <w:color w:val="000000"/>
          <w:szCs w:val="21"/>
          <w:lang w:eastAsia="zh-CN"/>
        </w:rPr>
      </w:pPr>
      <w:r>
        <w:rPr>
          <w:rFonts w:hint="eastAsia" w:ascii="宋体" w:hAnsi="宋体" w:eastAsiaTheme="minorEastAsia"/>
          <w:color w:val="000000"/>
          <w:szCs w:val="21"/>
          <w:lang w:eastAsia="zh-CN"/>
        </w:rPr>
        <w:drawing>
          <wp:inline distT="0" distB="0" distL="114300" distR="114300">
            <wp:extent cx="5273040" cy="667385"/>
            <wp:effectExtent l="0" t="0" r="3810" b="18415"/>
            <wp:docPr id="4" name="图片 4" descr="WXWorkLocal_177673930929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WXWorkLocal_17767393092996"/>
                    <pic:cNvPicPr>
                      <a:picLocks noChangeAspect="1"/>
                    </pic:cNvPicPr>
                  </pic:nvPicPr>
                  <pic:blipFill>
                    <a:blip r:embed="rId6"/>
                    <a:stretch>
                      <a:fillRect/>
                    </a:stretch>
                  </pic:blipFill>
                  <pic:spPr>
                    <a:xfrm>
                      <a:off x="0" y="0"/>
                      <a:ext cx="5273040" cy="667385"/>
                    </a:xfrm>
                    <a:prstGeom prst="rect">
                      <a:avLst/>
                    </a:prstGeom>
                  </pic:spPr>
                </pic:pic>
              </a:graphicData>
            </a:graphic>
          </wp:inline>
        </w:drawing>
      </w:r>
    </w:p>
    <w:p w14:paraId="1903288E">
      <w:pPr>
        <w:adjustRightInd w:val="0"/>
        <w:snapToGrid w:val="0"/>
        <w:spacing w:line="360" w:lineRule="auto"/>
        <w:ind w:firstLine="420" w:firstLineChars="200"/>
        <w:rPr>
          <w:rFonts w:hint="default" w:ascii="宋体" w:hAnsi="宋体"/>
          <w:color w:val="000000"/>
          <w:szCs w:val="21"/>
        </w:rPr>
      </w:pPr>
      <w:r>
        <w:rPr>
          <w:rFonts w:hint="default" w:ascii="宋体" w:hAnsi="宋体"/>
          <w:color w:val="000000"/>
          <w:szCs w:val="21"/>
        </w:rPr>
        <w:t>步骤4、令当前轮次t加1,中心服务器从所有客户端中选择一部分客户端作为参与方进行协同训练；在协同训练过程中，每个参与方先将伪标签作为无标签共享数据集的每个样本的标签，得到有标签共享数据集；再利用有标签共享数据集、自己的有标签本地数据集和无标签本地数据集对自己的本地神经网络模型进行半监督训练，得到本轮训练的本地神经网络模型；后利用本轮训练的本地神经网络模型对无标签共享数据集进行预测，得到每个参与方在第t轮次的模型预测矩阵；</w:t>
      </w:r>
    </w:p>
    <w:p w14:paraId="284C8AAE">
      <w:pPr>
        <w:adjustRightInd w:val="0"/>
        <w:snapToGrid w:val="0"/>
        <w:spacing w:line="360" w:lineRule="auto"/>
        <w:ind w:firstLine="420" w:firstLineChars="200"/>
        <w:rPr>
          <w:rFonts w:hint="default" w:ascii="宋体" w:hAnsi="宋体"/>
          <w:color w:val="000000"/>
          <w:szCs w:val="21"/>
        </w:rPr>
      </w:pPr>
      <w:r>
        <w:rPr>
          <w:rFonts w:hint="default" w:ascii="宋体" w:hAnsi="宋体"/>
          <w:color w:val="000000"/>
          <w:szCs w:val="21"/>
        </w:rPr>
        <w:t>步骤5、判断当前轮次t是否达到设定的最大轮次：如果是，则停止训练；否则，返回步骤3。</w:t>
      </w:r>
    </w:p>
    <w:p w14:paraId="6039BF64">
      <w:pPr>
        <w:adjustRightInd w:val="0"/>
        <w:snapToGrid w:val="0"/>
        <w:spacing w:line="360" w:lineRule="auto"/>
        <w:ind w:firstLine="420" w:firstLineChars="200"/>
        <w:rPr>
          <w:rFonts w:hint="default" w:ascii="宋体" w:hAnsi="宋体"/>
          <w:color w:val="000000"/>
          <w:szCs w:val="21"/>
        </w:rPr>
      </w:pPr>
      <w:r>
        <w:rPr>
          <w:rFonts w:hint="default" w:ascii="宋体" w:hAnsi="宋体"/>
          <w:color w:val="000000"/>
          <w:szCs w:val="21"/>
        </w:rPr>
        <w:t>上述步骤中，参与方在第t轮次的模型预测矩阵的每一行为该参与方在第t轮次的无标签共享数据集的每一个样本的所有类别标签的概率分布。</w:t>
      </w:r>
    </w:p>
    <w:p w14:paraId="0A84FC07">
      <w:pPr>
        <w:adjustRightInd w:val="0"/>
        <w:snapToGrid w:val="0"/>
        <w:spacing w:line="360" w:lineRule="auto"/>
        <w:ind w:firstLine="420" w:firstLineChars="200"/>
        <w:rPr>
          <w:rFonts w:hint="eastAsia" w:ascii="宋体" w:hAnsi="宋体" w:eastAsiaTheme="minorEastAsia"/>
          <w:color w:val="000000"/>
          <w:szCs w:val="21"/>
          <w:lang w:eastAsia="zh-CN"/>
        </w:rPr>
      </w:pPr>
      <w:r>
        <w:rPr>
          <w:rFonts w:hint="eastAsia" w:ascii="宋体" w:hAnsi="宋体" w:eastAsiaTheme="minorEastAsia"/>
          <w:color w:val="000000"/>
          <w:szCs w:val="21"/>
          <w:lang w:eastAsia="zh-CN"/>
        </w:rPr>
        <w:drawing>
          <wp:inline distT="0" distB="0" distL="114300" distR="114300">
            <wp:extent cx="5020945" cy="212090"/>
            <wp:effectExtent l="0" t="0" r="8255" b="16510"/>
            <wp:docPr id="6" name="图片 6" descr="1776739518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776739518012"/>
                    <pic:cNvPicPr>
                      <a:picLocks noChangeAspect="1"/>
                    </pic:cNvPicPr>
                  </pic:nvPicPr>
                  <pic:blipFill>
                    <a:blip r:embed="rId7"/>
                    <a:stretch>
                      <a:fillRect/>
                    </a:stretch>
                  </pic:blipFill>
                  <pic:spPr>
                    <a:xfrm>
                      <a:off x="0" y="0"/>
                      <a:ext cx="5020945" cy="212090"/>
                    </a:xfrm>
                    <a:prstGeom prst="rect">
                      <a:avLst/>
                    </a:prstGeom>
                  </pic:spPr>
                </pic:pic>
              </a:graphicData>
            </a:graphic>
          </wp:inline>
        </w:drawing>
      </w:r>
    </w:p>
    <w:p w14:paraId="706C306B">
      <w:pPr>
        <w:adjustRightInd w:val="0"/>
        <w:snapToGrid w:val="0"/>
        <w:spacing w:line="360" w:lineRule="auto"/>
        <w:ind w:firstLine="420" w:firstLineChars="200"/>
        <w:rPr>
          <w:rFonts w:hint="default" w:ascii="宋体" w:hAnsi="宋体"/>
          <w:color w:val="000000"/>
          <w:szCs w:val="21"/>
        </w:rPr>
      </w:pPr>
      <w:r>
        <w:rPr>
          <w:rFonts w:hint="default" w:ascii="宋体" w:hAnsi="宋体"/>
          <w:color w:val="000000"/>
          <w:szCs w:val="21"/>
        </w:rPr>
        <w:t>数据集的样本数量，D为类别标签数量。</w:t>
      </w:r>
    </w:p>
    <w:p w14:paraId="55DFF6A5">
      <w:pPr>
        <w:adjustRightInd w:val="0"/>
        <w:snapToGrid w:val="0"/>
        <w:spacing w:line="360" w:lineRule="auto"/>
        <w:ind w:firstLine="420" w:firstLineChars="200"/>
        <w:rPr>
          <w:rFonts w:hint="default" w:ascii="宋体" w:hAnsi="宋体"/>
          <w:color w:val="000000"/>
          <w:szCs w:val="21"/>
        </w:rPr>
      </w:pPr>
      <w:r>
        <w:rPr>
          <w:rFonts w:hint="default" w:ascii="宋体" w:hAnsi="宋体"/>
          <w:color w:val="000000"/>
          <w:szCs w:val="21"/>
        </w:rPr>
        <w:t>与现有技术相比，本发明具有如下特点：</w:t>
      </w:r>
    </w:p>
    <w:p w14:paraId="5E0FFE64">
      <w:pPr>
        <w:adjustRightInd w:val="0"/>
        <w:snapToGrid w:val="0"/>
        <w:spacing w:line="360" w:lineRule="auto"/>
        <w:ind w:firstLine="420" w:firstLineChars="200"/>
        <w:rPr>
          <w:rFonts w:hint="default" w:ascii="宋体" w:hAnsi="宋体"/>
          <w:color w:val="000000"/>
          <w:szCs w:val="21"/>
        </w:rPr>
      </w:pPr>
      <w:r>
        <w:rPr>
          <w:rFonts w:hint="default" w:ascii="宋体" w:hAnsi="宋体"/>
          <w:color w:val="000000"/>
          <w:szCs w:val="21"/>
        </w:rPr>
        <w:t>1、在每个客户端上构造了相同的无标签共享数据。无标签共享数据利用生成式对抗网络(GAN，Generative Adversarial Networks)生成，GAN是一种能生成与原始数据相同分布的假数据的深度学习模型。这种在每个客户端上构造了相同数据集的方法使得所有客户端在相同的数据上进行观察从而实现蒸馏，防止了因客户端上的数据样本不同带来的影响。</w:t>
      </w:r>
    </w:p>
    <w:p w14:paraId="4C8C8D92">
      <w:pPr>
        <w:adjustRightInd w:val="0"/>
        <w:snapToGrid w:val="0"/>
        <w:spacing w:line="360" w:lineRule="auto"/>
        <w:ind w:firstLine="420" w:firstLineChars="200"/>
        <w:rPr>
          <w:rFonts w:hint="default" w:ascii="宋体" w:hAnsi="宋体"/>
          <w:color w:val="000000"/>
          <w:szCs w:val="21"/>
        </w:rPr>
      </w:pPr>
      <w:r>
        <w:rPr>
          <w:rFonts w:hint="default" w:ascii="宋体" w:hAnsi="宋体"/>
          <w:color w:val="000000"/>
          <w:szCs w:val="21"/>
        </w:rPr>
        <w:t>2、采用半监督学习方法与知识蒸馏技术结合实现客户端本地模型训练。半监督学习同时利用公共数据和本地数据训练模型，相比于只用有本地数据训练出来的模型性能更好。</w:t>
      </w:r>
    </w:p>
    <w:p w14:paraId="4826C4BB">
      <w:pPr>
        <w:adjustRightInd w:val="0"/>
        <w:snapToGrid w:val="0"/>
        <w:spacing w:line="360" w:lineRule="auto"/>
        <w:ind w:firstLine="420" w:firstLineChars="200"/>
        <w:rPr>
          <w:rFonts w:hint="default" w:ascii="宋体" w:hAnsi="宋体"/>
          <w:color w:val="000000"/>
          <w:szCs w:val="21"/>
        </w:rPr>
      </w:pPr>
      <w:r>
        <w:rPr>
          <w:rFonts w:hint="default" w:ascii="宋体" w:hAnsi="宋体"/>
          <w:color w:val="000000"/>
          <w:szCs w:val="21"/>
        </w:rPr>
        <w:t>3、基于JS散度的自适应加权平均聚合方法。根据每个客户端的模型输出与上一轮次聚合的模型输出的JS散度值进行模型输出聚合，该聚合方法根据每个客户端提供知识的重要程度进行动态聚合，减少了低质量模型的权重，提高了模型的性能和模型的鲁棒性。</w:t>
      </w:r>
    </w:p>
    <w:p w14:paraId="23D1D068">
      <w:pPr>
        <w:adjustRightInd w:val="0"/>
        <w:snapToGrid w:val="0"/>
        <w:spacing w:line="360" w:lineRule="auto"/>
        <w:ind w:firstLine="420" w:firstLineChars="200"/>
        <w:rPr>
          <w:rFonts w:hint="default" w:ascii="宋体" w:hAnsi="宋体"/>
          <w:color w:val="000000"/>
          <w:szCs w:val="21"/>
        </w:rPr>
      </w:pPr>
      <w:r>
        <w:rPr>
          <w:rFonts w:hint="default" w:ascii="宋体" w:hAnsi="宋体"/>
          <w:color w:val="000000"/>
          <w:szCs w:val="21"/>
        </w:rPr>
        <w:t>4、服务器端回传公共数据的伪标签。当前的知识蒸馏与联邦学习结合的方法都是通过在客户端和服务器端之间传输模型预测来训练模型，本发明采用客户端上传模型预测和服务器端回传共享的无标签数据的伪标签来构建模型，在不影响模型效果的同时，大大提高了联邦学习中的传输通讯效率。</w:t>
      </w:r>
    </w:p>
    <w:p w14:paraId="59EC618E">
      <w:pPr>
        <w:spacing w:line="360" w:lineRule="auto"/>
        <w:rPr>
          <w:rFonts w:ascii="宋体" w:hAnsi="宋体"/>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c5MWZlNTA1YzQ5NjQ2MWVkYjFkMjI4OTFkMDc4NDQifQ=="/>
  </w:docVars>
  <w:rsids>
    <w:rsidRoot w:val="007E496D"/>
    <w:rsid w:val="00086FE4"/>
    <w:rsid w:val="001E206D"/>
    <w:rsid w:val="002471E4"/>
    <w:rsid w:val="00360234"/>
    <w:rsid w:val="00371580"/>
    <w:rsid w:val="003E0AB2"/>
    <w:rsid w:val="003E2E4B"/>
    <w:rsid w:val="00421187"/>
    <w:rsid w:val="005A713B"/>
    <w:rsid w:val="00694649"/>
    <w:rsid w:val="00712815"/>
    <w:rsid w:val="00760859"/>
    <w:rsid w:val="007E496D"/>
    <w:rsid w:val="00855292"/>
    <w:rsid w:val="00A44548"/>
    <w:rsid w:val="00B07115"/>
    <w:rsid w:val="00B30344"/>
    <w:rsid w:val="00EA637E"/>
    <w:rsid w:val="00F44AE2"/>
    <w:rsid w:val="170572C0"/>
    <w:rsid w:val="178C749F"/>
    <w:rsid w:val="1EA773E1"/>
    <w:rsid w:val="2BC84A3E"/>
    <w:rsid w:val="387E494D"/>
    <w:rsid w:val="3B306A7D"/>
    <w:rsid w:val="43CC72AC"/>
    <w:rsid w:val="717C0A5F"/>
    <w:rsid w:val="75A55B0E"/>
    <w:rsid w:val="7BF505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1"/>
    <w:qFormat/>
    <w:uiPriority w:val="0"/>
    <w:rPr>
      <w:rFonts w:ascii="宋体" w:hAnsi="Courier New" w:eastAsia="宋体"/>
      <w:kern w:val="0"/>
      <w:sz w:val="20"/>
      <w:szCs w:val="20"/>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Char"/>
    <w:basedOn w:val="7"/>
    <w:link w:val="4"/>
    <w:qFormat/>
    <w:uiPriority w:val="99"/>
    <w:rPr>
      <w:kern w:val="2"/>
      <w:sz w:val="18"/>
      <w:szCs w:val="18"/>
    </w:rPr>
  </w:style>
  <w:style w:type="character" w:customStyle="1" w:styleId="9">
    <w:name w:val="页脚 Char"/>
    <w:basedOn w:val="7"/>
    <w:link w:val="3"/>
    <w:qFormat/>
    <w:uiPriority w:val="99"/>
    <w:rPr>
      <w:kern w:val="2"/>
      <w:sz w:val="18"/>
      <w:szCs w:val="18"/>
    </w:rPr>
  </w:style>
  <w:style w:type="paragraph" w:customStyle="1" w:styleId="10">
    <w:name w:val="正文1"/>
    <w:qFormat/>
    <w:uiPriority w:val="0"/>
    <w:pPr>
      <w:jc w:val="both"/>
    </w:pPr>
    <w:rPr>
      <w:rFonts w:ascii="Times New Roman" w:hAnsi="Times New Roman" w:eastAsia="宋体" w:cs="Times New Roman"/>
      <w:kern w:val="2"/>
      <w:sz w:val="21"/>
      <w:szCs w:val="21"/>
      <w:lang w:val="en-US" w:eastAsia="zh-CN" w:bidi="ar-SA"/>
    </w:rPr>
  </w:style>
  <w:style w:type="character" w:customStyle="1" w:styleId="11">
    <w:name w:val="纯文本 Char"/>
    <w:basedOn w:val="7"/>
    <w:link w:val="2"/>
    <w:qFormat/>
    <w:uiPriority w:val="0"/>
    <w:rPr>
      <w:rFonts w:ascii="宋体" w:hAnsi="Courier New" w:eastAsia="宋体"/>
    </w:rPr>
  </w:style>
  <w:style w:type="character" w:customStyle="1" w:styleId="12">
    <w:name w:val="纯文本 Char1"/>
    <w:basedOn w:val="7"/>
    <w:semiHidden/>
    <w:qFormat/>
    <w:uiPriority w:val="99"/>
    <w:rPr>
      <w:rFonts w:ascii="宋体" w:hAnsi="Courier New" w:eastAsia="宋体" w:cs="Courier New"/>
      <w:kern w:val="2"/>
      <w:sz w:val="21"/>
      <w:szCs w:val="21"/>
    </w:rPr>
  </w:style>
  <w:style w:type="character" w:customStyle="1" w:styleId="13">
    <w:name w:val="zi_101"/>
    <w:qFormat/>
    <w:uiPriority w:val="0"/>
    <w:rPr>
      <w:rFonts w:hint="default" w:ascii="Verdana" w:hAnsi="Verdana"/>
      <w:snapToGrid/>
      <w:color w:val="C90000"/>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3</Pages>
  <Words>2324</Words>
  <Characters>2359</Characters>
  <Lines>7</Lines>
  <Paragraphs>1</Paragraphs>
  <TotalTime>13</TotalTime>
  <ScaleCrop>false</ScaleCrop>
  <LinksUpToDate>false</LinksUpToDate>
  <CharactersWithSpaces>2362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2018-10-14T01:54:00Z</dcterms:created>
  <dc:creator>User</dc:creator>
  <cp:lastModifiedBy>就这样</cp:lastModifiedBy>
  <dcterms:modified xsi:type="dcterms:W3CDTF">2026-04-21T02:52:31Z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49E4AD552C3047429BFB39CC64F1EB73_13</vt:lpwstr>
  </property>
  <property fmtid="{D5CDD505-2E9C-101B-9397-08002B2CF9AE}" pid="4" name="KSOTemplateDocerSaveRecord">
    <vt:lpwstr>eyJoZGlkIjoiNDA0Nzc5YzVjNTQ1MzIyNTBjYmEzMTI1YTFiNTczMTciLCJ1c2VySWQiOiIxMTQ0MzE0NTEzIn0=</vt:lpwstr>
  </property>
</Properties>
</file>