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425D4">
      <w:pPr>
        <w:spacing w:before="120" w:after="0" w:line="360" w:lineRule="auto"/>
        <w:jc w:val="center"/>
      </w:pPr>
      <w:r>
        <w:rPr>
          <w:rFonts w:hint="eastAsia" w:ascii="方正小标宋简体" w:hAnsi="方正小标宋简体" w:eastAsia="方正小标宋简体"/>
          <w:b/>
          <w:sz w:val="32"/>
        </w:rPr>
        <w:t>广西师范大学第十九届全国大学生创新年会</w:t>
      </w:r>
    </w:p>
    <w:p w14:paraId="6894FAF6">
      <w:pPr>
        <w:spacing w:before="0" w:after="200" w:line="360" w:lineRule="auto"/>
        <w:jc w:val="center"/>
      </w:pPr>
      <w:r>
        <w:rPr>
          <w:rFonts w:hint="eastAsia" w:ascii="方正小标宋简体" w:hAnsi="方正小标宋简体" w:eastAsia="方正小标宋简体"/>
          <w:b/>
          <w:sz w:val="32"/>
          <w:lang w:val="en-US" w:eastAsia="zh-CN"/>
        </w:rPr>
        <w:t>拟</w:t>
      </w:r>
      <w:r>
        <w:rPr>
          <w:rFonts w:hint="eastAsia" w:ascii="方正小标宋简体" w:hAnsi="方正小标宋简体" w:eastAsia="方正小标宋简体"/>
          <w:b/>
          <w:sz w:val="32"/>
        </w:rPr>
        <w:t>推荐项目</w:t>
      </w:r>
      <w:bookmarkStart w:id="0" w:name="_GoBack"/>
      <w:bookmarkEnd w:id="0"/>
      <w:r>
        <w:rPr>
          <w:rFonts w:hint="eastAsia" w:ascii="方正小标宋简体" w:hAnsi="方正小标宋简体" w:eastAsia="方正小标宋简体"/>
          <w:b/>
          <w:sz w:val="32"/>
          <w:lang w:val="en-US" w:eastAsia="zh-CN"/>
        </w:rPr>
        <w:t>汇总</w:t>
      </w:r>
      <w:r>
        <w:rPr>
          <w:rFonts w:hint="eastAsia" w:ascii="方正小标宋简体" w:hAnsi="方正小标宋简体" w:eastAsia="方正小标宋简体"/>
          <w:b/>
          <w:sz w:val="32"/>
        </w:rPr>
        <w:t>表</w:t>
      </w:r>
    </w:p>
    <w:tbl>
      <w:tblPr>
        <w:tblStyle w:val="33"/>
        <w:tblW w:w="8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173"/>
        <w:gridCol w:w="2990"/>
        <w:gridCol w:w="1714"/>
        <w:gridCol w:w="1109"/>
        <w:gridCol w:w="1075"/>
      </w:tblGrid>
      <w:tr w14:paraId="5C81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blHeader/>
          <w:jc w:val="center"/>
        </w:trPr>
        <w:tc>
          <w:tcPr>
            <w:tcW w:w="782" w:type="dxa"/>
            <w:shd w:val="clear" w:color="auto" w:fill="D9D9D9"/>
            <w:vAlign w:val="center"/>
          </w:tcPr>
          <w:p w14:paraId="130BB86B">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序号</w:t>
            </w:r>
          </w:p>
        </w:tc>
        <w:tc>
          <w:tcPr>
            <w:tcW w:w="1173" w:type="dxa"/>
            <w:shd w:val="clear" w:color="auto" w:fill="D9D9D9"/>
            <w:vAlign w:val="center"/>
          </w:tcPr>
          <w:p w14:paraId="66470111">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推荐类别</w:t>
            </w:r>
          </w:p>
        </w:tc>
        <w:tc>
          <w:tcPr>
            <w:tcW w:w="2990" w:type="dxa"/>
            <w:shd w:val="clear" w:color="auto" w:fill="D9D9D9"/>
            <w:vAlign w:val="center"/>
          </w:tcPr>
          <w:p w14:paraId="56227981">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项目名称</w:t>
            </w:r>
          </w:p>
        </w:tc>
        <w:tc>
          <w:tcPr>
            <w:tcW w:w="1714" w:type="dxa"/>
            <w:shd w:val="clear" w:color="auto" w:fill="D9D9D9"/>
            <w:vAlign w:val="center"/>
          </w:tcPr>
          <w:p w14:paraId="4AD7358D">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项目编号（国创计划）</w:t>
            </w:r>
          </w:p>
        </w:tc>
        <w:tc>
          <w:tcPr>
            <w:tcW w:w="1109" w:type="dxa"/>
            <w:shd w:val="clear" w:color="auto" w:fill="D9D9D9"/>
            <w:vAlign w:val="center"/>
          </w:tcPr>
          <w:p w14:paraId="12164842">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项目负责人</w:t>
            </w:r>
          </w:p>
        </w:tc>
        <w:tc>
          <w:tcPr>
            <w:tcW w:w="1075" w:type="dxa"/>
            <w:shd w:val="clear" w:color="auto" w:fill="D9D9D9"/>
            <w:vAlign w:val="center"/>
          </w:tcPr>
          <w:p w14:paraId="1629CE77">
            <w:pPr>
              <w:spacing w:after="0" w:line="240" w:lineRule="auto"/>
              <w:jc w:val="center"/>
              <w:rPr>
                <w:rFonts w:hint="eastAsia" w:ascii="黑体" w:hAnsi="黑体" w:eastAsia="黑体" w:cs="黑体"/>
                <w:b/>
                <w:sz w:val="21"/>
                <w:szCs w:val="21"/>
              </w:rPr>
            </w:pPr>
            <w:r>
              <w:rPr>
                <w:rFonts w:hint="eastAsia" w:ascii="黑体" w:hAnsi="黑体" w:eastAsia="黑体" w:cs="黑体"/>
                <w:b/>
                <w:sz w:val="21"/>
                <w:szCs w:val="21"/>
              </w:rPr>
              <w:t>备注</w:t>
            </w:r>
          </w:p>
        </w:tc>
      </w:tr>
      <w:tr w14:paraId="70AB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82" w:type="dxa"/>
            <w:vAlign w:val="center"/>
          </w:tcPr>
          <w:p w14:paraId="1515E2AC">
            <w:pPr>
              <w:spacing w:after="0"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173" w:type="dxa"/>
            <w:vAlign w:val="center"/>
          </w:tcPr>
          <w:p w14:paraId="122AAC2F">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学术论文</w:t>
            </w:r>
          </w:p>
        </w:tc>
        <w:tc>
          <w:tcPr>
            <w:tcW w:w="2990" w:type="dxa"/>
            <w:vAlign w:val="center"/>
          </w:tcPr>
          <w:p w14:paraId="79B24C0F">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壮典云擎：壮族古籍总目数据库的多维度建设与应用</w:t>
            </w:r>
          </w:p>
        </w:tc>
        <w:tc>
          <w:tcPr>
            <w:tcW w:w="1714" w:type="dxa"/>
            <w:vAlign w:val="center"/>
          </w:tcPr>
          <w:p w14:paraId="3D558EB9">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X2025106020006</w:t>
            </w:r>
          </w:p>
        </w:tc>
        <w:tc>
          <w:tcPr>
            <w:tcW w:w="1109" w:type="dxa"/>
            <w:vAlign w:val="center"/>
          </w:tcPr>
          <w:p w14:paraId="1F1E6854">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张嘉璇</w:t>
            </w:r>
          </w:p>
        </w:tc>
        <w:tc>
          <w:tcPr>
            <w:tcW w:w="1075" w:type="dxa"/>
            <w:vAlign w:val="center"/>
          </w:tcPr>
          <w:p w14:paraId="48F97983">
            <w:pPr>
              <w:spacing w:after="0" w:line="240" w:lineRule="auto"/>
              <w:jc w:val="center"/>
              <w:rPr>
                <w:rFonts w:hint="eastAsia" w:ascii="宋体" w:hAnsi="宋体" w:eastAsia="宋体" w:cs="宋体"/>
                <w:sz w:val="21"/>
                <w:szCs w:val="21"/>
                <w:highlight w:val="none"/>
              </w:rPr>
            </w:pPr>
          </w:p>
        </w:tc>
      </w:tr>
      <w:tr w14:paraId="57FC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782" w:type="dxa"/>
            <w:vAlign w:val="center"/>
          </w:tcPr>
          <w:p w14:paraId="51E259FB">
            <w:pPr>
              <w:spacing w:after="0"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173" w:type="dxa"/>
            <w:vAlign w:val="center"/>
          </w:tcPr>
          <w:p w14:paraId="2E75D12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学术论文</w:t>
            </w:r>
          </w:p>
        </w:tc>
        <w:tc>
          <w:tcPr>
            <w:tcW w:w="2990" w:type="dxa"/>
            <w:vAlign w:val="center"/>
          </w:tcPr>
          <w:p w14:paraId="1990EBDF">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老化可生物降解微塑料对污泥厌氧消化中蛋白水解与功能微生物代谢的影响研究</w:t>
            </w:r>
          </w:p>
        </w:tc>
        <w:tc>
          <w:tcPr>
            <w:tcW w:w="1714" w:type="dxa"/>
            <w:vAlign w:val="center"/>
          </w:tcPr>
          <w:p w14:paraId="400E1E8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202510602259</w:t>
            </w:r>
          </w:p>
        </w:tc>
        <w:tc>
          <w:tcPr>
            <w:tcW w:w="1109" w:type="dxa"/>
            <w:vAlign w:val="center"/>
          </w:tcPr>
          <w:p w14:paraId="76DEC9E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康秉娅</w:t>
            </w:r>
          </w:p>
        </w:tc>
        <w:tc>
          <w:tcPr>
            <w:tcW w:w="1075" w:type="dxa"/>
            <w:vAlign w:val="center"/>
          </w:tcPr>
          <w:p w14:paraId="0325C6DF">
            <w:pPr>
              <w:spacing w:after="0" w:line="240" w:lineRule="auto"/>
              <w:jc w:val="center"/>
              <w:rPr>
                <w:rFonts w:hint="eastAsia" w:ascii="宋体" w:hAnsi="宋体" w:eastAsia="宋体" w:cs="宋体"/>
                <w:sz w:val="21"/>
                <w:szCs w:val="21"/>
                <w:highlight w:val="none"/>
              </w:rPr>
            </w:pPr>
          </w:p>
        </w:tc>
      </w:tr>
      <w:tr w14:paraId="3E5C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782" w:type="dxa"/>
            <w:vAlign w:val="center"/>
          </w:tcPr>
          <w:p w14:paraId="163780E5">
            <w:pPr>
              <w:spacing w:after="0"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173" w:type="dxa"/>
            <w:vAlign w:val="center"/>
          </w:tcPr>
          <w:p w14:paraId="5C927702">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学术论文</w:t>
            </w:r>
          </w:p>
        </w:tc>
        <w:tc>
          <w:tcPr>
            <w:tcW w:w="2990" w:type="dxa"/>
            <w:vAlign w:val="center"/>
          </w:tcPr>
          <w:p w14:paraId="36C51548">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基于游客满意度的民宿智能体搭建研究—以阳朔骥马村为例</w:t>
            </w:r>
          </w:p>
        </w:tc>
        <w:tc>
          <w:tcPr>
            <w:tcW w:w="1714" w:type="dxa"/>
            <w:vAlign w:val="center"/>
          </w:tcPr>
          <w:p w14:paraId="70701F5D">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X2025106020340</w:t>
            </w:r>
          </w:p>
        </w:tc>
        <w:tc>
          <w:tcPr>
            <w:tcW w:w="1109" w:type="dxa"/>
            <w:vAlign w:val="center"/>
          </w:tcPr>
          <w:p w14:paraId="6403637D">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廖梓氙</w:t>
            </w:r>
          </w:p>
        </w:tc>
        <w:tc>
          <w:tcPr>
            <w:tcW w:w="1075" w:type="dxa"/>
            <w:vAlign w:val="center"/>
          </w:tcPr>
          <w:p w14:paraId="01E66176">
            <w:pPr>
              <w:spacing w:after="0" w:line="240" w:lineRule="auto"/>
              <w:jc w:val="center"/>
              <w:rPr>
                <w:rFonts w:hint="eastAsia" w:ascii="宋体" w:hAnsi="宋体" w:eastAsia="宋体" w:cs="宋体"/>
                <w:sz w:val="21"/>
                <w:szCs w:val="21"/>
                <w:highlight w:val="none"/>
              </w:rPr>
            </w:pPr>
          </w:p>
        </w:tc>
      </w:tr>
      <w:tr w14:paraId="16EA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782" w:type="dxa"/>
            <w:vAlign w:val="center"/>
          </w:tcPr>
          <w:p w14:paraId="20F30C06">
            <w:pPr>
              <w:spacing w:after="0"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1173" w:type="dxa"/>
            <w:vAlign w:val="center"/>
          </w:tcPr>
          <w:p w14:paraId="3BB6E21C">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改革成果项目</w:t>
            </w:r>
          </w:p>
        </w:tc>
        <w:tc>
          <w:tcPr>
            <w:tcW w:w="2990" w:type="dxa"/>
            <w:vAlign w:val="center"/>
          </w:tcPr>
          <w:p w14:paraId="1817024A">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势载必行—国内首创轴向手性有机抗肿瘤纳米载体的领航者</w:t>
            </w:r>
          </w:p>
        </w:tc>
        <w:tc>
          <w:tcPr>
            <w:tcW w:w="1714" w:type="dxa"/>
            <w:vAlign w:val="center"/>
          </w:tcPr>
          <w:p w14:paraId="22AF2A86">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X2025106020227</w:t>
            </w:r>
          </w:p>
        </w:tc>
        <w:tc>
          <w:tcPr>
            <w:tcW w:w="1109" w:type="dxa"/>
            <w:vAlign w:val="center"/>
          </w:tcPr>
          <w:p w14:paraId="1E443DD8">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冷越</w:t>
            </w:r>
          </w:p>
        </w:tc>
        <w:tc>
          <w:tcPr>
            <w:tcW w:w="1075" w:type="dxa"/>
            <w:vAlign w:val="center"/>
          </w:tcPr>
          <w:p w14:paraId="48139DA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重点领域项目</w:t>
            </w:r>
          </w:p>
        </w:tc>
      </w:tr>
      <w:tr w14:paraId="21B9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82" w:type="dxa"/>
            <w:vAlign w:val="center"/>
          </w:tcPr>
          <w:p w14:paraId="3606D787">
            <w:pPr>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1173" w:type="dxa"/>
            <w:vAlign w:val="center"/>
          </w:tcPr>
          <w:p w14:paraId="0C074875">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改革成果项目</w:t>
            </w:r>
          </w:p>
        </w:tc>
        <w:tc>
          <w:tcPr>
            <w:tcW w:w="2990" w:type="dxa"/>
            <w:vAlign w:val="center"/>
          </w:tcPr>
          <w:p w14:paraId="5D1277A3">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基于功率电路时分复用的电能变换器研究与设计</w:t>
            </w:r>
          </w:p>
        </w:tc>
        <w:tc>
          <w:tcPr>
            <w:tcW w:w="1714" w:type="dxa"/>
            <w:vAlign w:val="center"/>
          </w:tcPr>
          <w:p w14:paraId="68D03F17">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202410602069</w:t>
            </w:r>
          </w:p>
        </w:tc>
        <w:tc>
          <w:tcPr>
            <w:tcW w:w="1109" w:type="dxa"/>
            <w:vAlign w:val="center"/>
          </w:tcPr>
          <w:p w14:paraId="4CDA8A1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彭正坤</w:t>
            </w:r>
          </w:p>
        </w:tc>
        <w:tc>
          <w:tcPr>
            <w:tcW w:w="1075" w:type="dxa"/>
            <w:vAlign w:val="center"/>
          </w:tcPr>
          <w:p w14:paraId="71E1D618">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重点</w:t>
            </w:r>
            <w:r>
              <w:rPr>
                <w:rFonts w:hint="eastAsia" w:ascii="宋体" w:hAnsi="宋体" w:eastAsia="宋体" w:cs="宋体"/>
                <w:sz w:val="21"/>
                <w:szCs w:val="21"/>
                <w:highlight w:val="none"/>
                <w:lang w:val="en-US" w:eastAsia="zh-CN"/>
              </w:rPr>
              <w:t>领域</w:t>
            </w:r>
            <w:r>
              <w:rPr>
                <w:rFonts w:hint="eastAsia" w:ascii="宋体" w:hAnsi="宋体" w:eastAsia="宋体" w:cs="宋体"/>
                <w:sz w:val="21"/>
                <w:szCs w:val="21"/>
                <w:highlight w:val="none"/>
              </w:rPr>
              <w:t>项目</w:t>
            </w:r>
          </w:p>
        </w:tc>
      </w:tr>
      <w:tr w14:paraId="489E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782" w:type="dxa"/>
            <w:vAlign w:val="center"/>
          </w:tcPr>
          <w:p w14:paraId="14B39D71">
            <w:pPr>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1173" w:type="dxa"/>
            <w:vAlign w:val="center"/>
          </w:tcPr>
          <w:p w14:paraId="74B8067E">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改革成果项目</w:t>
            </w:r>
          </w:p>
        </w:tc>
        <w:tc>
          <w:tcPr>
            <w:tcW w:w="2990" w:type="dxa"/>
            <w:vAlign w:val="center"/>
          </w:tcPr>
          <w:p w14:paraId="6089ED62">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抗蛋白干扰的肾脏靶向荧光探针用于肾脏疾病的监测</w:t>
            </w:r>
          </w:p>
        </w:tc>
        <w:tc>
          <w:tcPr>
            <w:tcW w:w="1714" w:type="dxa"/>
            <w:vAlign w:val="center"/>
          </w:tcPr>
          <w:p w14:paraId="1357DB8F">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X2025106020221</w:t>
            </w:r>
          </w:p>
        </w:tc>
        <w:tc>
          <w:tcPr>
            <w:tcW w:w="1109" w:type="dxa"/>
            <w:vAlign w:val="center"/>
          </w:tcPr>
          <w:p w14:paraId="6DB5B5A6">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黄靖亭</w:t>
            </w:r>
          </w:p>
        </w:tc>
        <w:tc>
          <w:tcPr>
            <w:tcW w:w="1075" w:type="dxa"/>
            <w:vAlign w:val="center"/>
          </w:tcPr>
          <w:p w14:paraId="7AE04C95">
            <w:pPr>
              <w:spacing w:after="0" w:line="240" w:lineRule="auto"/>
              <w:jc w:val="center"/>
              <w:rPr>
                <w:rFonts w:hint="eastAsia" w:ascii="宋体" w:hAnsi="宋体" w:eastAsia="宋体" w:cs="宋体"/>
                <w:sz w:val="21"/>
                <w:szCs w:val="21"/>
                <w:highlight w:val="none"/>
              </w:rPr>
            </w:pPr>
          </w:p>
        </w:tc>
      </w:tr>
      <w:tr w14:paraId="0389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82" w:type="dxa"/>
            <w:vAlign w:val="center"/>
          </w:tcPr>
          <w:p w14:paraId="3CA6FA35">
            <w:pPr>
              <w:spacing w:after="0"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7</w:t>
            </w:r>
          </w:p>
        </w:tc>
        <w:tc>
          <w:tcPr>
            <w:tcW w:w="1173" w:type="dxa"/>
            <w:vAlign w:val="center"/>
          </w:tcPr>
          <w:p w14:paraId="55AA794D">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创业推介项目</w:t>
            </w:r>
          </w:p>
        </w:tc>
        <w:tc>
          <w:tcPr>
            <w:tcW w:w="2990" w:type="dxa"/>
            <w:vAlign w:val="center"/>
          </w:tcPr>
          <w:p w14:paraId="24F28E3B">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势载必行—国内首创轴向手性有机抗肿瘤纳米载体的领航者</w:t>
            </w:r>
          </w:p>
        </w:tc>
        <w:tc>
          <w:tcPr>
            <w:tcW w:w="1714" w:type="dxa"/>
            <w:vAlign w:val="center"/>
          </w:tcPr>
          <w:p w14:paraId="0B878EB4">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X2025106020227</w:t>
            </w:r>
          </w:p>
        </w:tc>
        <w:tc>
          <w:tcPr>
            <w:tcW w:w="1109" w:type="dxa"/>
            <w:vAlign w:val="center"/>
          </w:tcPr>
          <w:p w14:paraId="2624D858">
            <w:pPr>
              <w:spacing w:after="0"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冷越</w:t>
            </w:r>
          </w:p>
        </w:tc>
        <w:tc>
          <w:tcPr>
            <w:tcW w:w="1075" w:type="dxa"/>
            <w:vAlign w:val="center"/>
          </w:tcPr>
          <w:p w14:paraId="4905AAC5">
            <w:pPr>
              <w:spacing w:after="0" w:line="240" w:lineRule="auto"/>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重点</w:t>
            </w:r>
            <w:r>
              <w:rPr>
                <w:rFonts w:hint="eastAsia" w:ascii="宋体" w:hAnsi="宋体" w:eastAsia="宋体" w:cs="宋体"/>
                <w:sz w:val="21"/>
                <w:szCs w:val="21"/>
                <w:highlight w:val="none"/>
                <w:lang w:val="en-US" w:eastAsia="zh-CN"/>
              </w:rPr>
              <w:t>领域</w:t>
            </w:r>
            <w:r>
              <w:rPr>
                <w:rFonts w:hint="eastAsia" w:ascii="宋体" w:hAnsi="宋体" w:eastAsia="宋体" w:cs="宋体"/>
                <w:sz w:val="21"/>
                <w:szCs w:val="21"/>
                <w:highlight w:val="none"/>
              </w:rPr>
              <w:t>项目</w:t>
            </w:r>
          </w:p>
        </w:tc>
      </w:tr>
    </w:tbl>
    <w:p w14:paraId="715B1D60">
      <w:pPr>
        <w:spacing w:before="160" w:after="0" w:line="360" w:lineRule="auto"/>
        <w:jc w:val="left"/>
      </w:pPr>
    </w:p>
    <w:sectPr>
      <w:pgSz w:w="11906" w:h="16838"/>
      <w:pgMar w:top="1474" w:right="1247" w:bottom="147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EFE741-EA63-46F0-959D-77609B0E12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2" w:fontKey="{BCC9FBF8-9850-48A9-84B6-3570B50B55C4}"/>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3" w:fontKey="{BAF9E964-D35E-4E0A-8F5C-E49B82816572}"/>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embedRegular r:id="rId4" w:fontKey="{10183E80-35E0-48FE-8CC1-C00A3F256B1B}"/>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A24343C"/>
    <w:rsid w:val="1D1A3CDE"/>
    <w:rsid w:val="1FDAEFAC"/>
    <w:rsid w:val="250642D8"/>
    <w:rsid w:val="2C74575B"/>
    <w:rsid w:val="4DA909C8"/>
    <w:rsid w:val="58BE1211"/>
    <w:rsid w:val="5DCD6030"/>
    <w:rsid w:val="5DDB826B"/>
    <w:rsid w:val="6ADECB0A"/>
    <w:rsid w:val="6B682A7F"/>
    <w:rsid w:val="E52B32BA"/>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6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5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7"/>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4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8"/>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2"/>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3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0"/>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48"/>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6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59"/>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6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Quote Char"/>
    <w:basedOn w:val="132"/>
    <w:link w:val="137"/>
    <w:qFormat/>
    <w:uiPriority w:val="29"/>
    <w:rPr>
      <w:i/>
      <w:iCs/>
      <w:color w:val="000000" w:themeColor="text1"/>
      <w14:textFill>
        <w14:solidFill>
          <w14:schemeClr w14:val="tx1"/>
        </w14:solidFill>
      </w14:textFill>
    </w:rPr>
  </w:style>
  <w:style w:type="paragraph" w:styleId="137">
    <w:name w:val="Quote"/>
    <w:basedOn w:val="1"/>
    <w:next w:val="1"/>
    <w:link w:val="136"/>
    <w:qFormat/>
    <w:uiPriority w:val="29"/>
    <w:rPr>
      <w:i/>
      <w:iCs/>
      <w:color w:val="000000" w:themeColor="text1"/>
      <w14:textFill>
        <w14:solidFill>
          <w14:schemeClr w14:val="tx1"/>
        </w14:solidFill>
      </w14:textFill>
    </w:rPr>
  </w:style>
  <w:style w:type="character" w:customStyle="1" w:styleId="138">
    <w:name w:val="Macro Text Char"/>
    <w:basedOn w:val="132"/>
    <w:link w:val="2"/>
    <w:qFormat/>
    <w:uiPriority w:val="99"/>
    <w:rPr>
      <w:rFonts w:ascii="Courier" w:hAnsi="Courier"/>
      <w:sz w:val="20"/>
      <w:szCs w:val="20"/>
    </w:rPr>
  </w:style>
  <w:style w:type="character" w:customStyle="1" w:styleId="139">
    <w:name w:val="Intense Emphasis"/>
    <w:basedOn w:val="132"/>
    <w:qFormat/>
    <w:uiPriority w:val="21"/>
    <w:rPr>
      <w:b/>
      <w:bCs/>
      <w:i/>
      <w:iCs/>
      <w:color w:val="4F81BD" w:themeColor="accent1"/>
      <w14:textFill>
        <w14:solidFill>
          <w14:schemeClr w14:val="accent1"/>
        </w14:solidFill>
      </w14:textFill>
    </w:rPr>
  </w:style>
  <w:style w:type="character" w:customStyle="1" w:styleId="140">
    <w:name w:val="Body Text Char"/>
    <w:basedOn w:val="132"/>
    <w:link w:val="19"/>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paragraph" w:customStyle="1" w:styleId="142">
    <w:name w:val="TOC Heading"/>
    <w:basedOn w:val="3"/>
    <w:next w:val="1"/>
    <w:semiHidden/>
    <w:unhideWhenUsed/>
    <w:qFormat/>
    <w:uiPriority w:val="39"/>
    <w:pPr>
      <w:outlineLvl w:val="9"/>
    </w:pPr>
  </w:style>
  <w:style w:type="paragraph" w:styleId="143">
    <w:name w:val="List Paragraph"/>
    <w:basedOn w:val="1"/>
    <w:qFormat/>
    <w:uiPriority w:val="34"/>
    <w:pPr>
      <w:ind w:left="720"/>
      <w:contextualSpacing/>
    </w:pPr>
  </w:style>
  <w:style w:type="character" w:customStyle="1" w:styleId="144">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45">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46">
    <w:name w:val="Body Text 3 Char"/>
    <w:basedOn w:val="132"/>
    <w:link w:val="17"/>
    <w:qFormat/>
    <w:uiPriority w:val="99"/>
    <w:rPr>
      <w:sz w:val="16"/>
      <w:szCs w:val="16"/>
    </w:rPr>
  </w:style>
  <w:style w:type="character" w:customStyle="1" w:styleId="147">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8">
    <w:name w:val="Footer Char"/>
    <w:basedOn w:val="132"/>
    <w:link w:val="24"/>
    <w:qFormat/>
    <w:uiPriority w:val="99"/>
  </w:style>
  <w:style w:type="character" w:customStyle="1" w:styleId="149">
    <w:name w:val="Intense Quote Char"/>
    <w:basedOn w:val="132"/>
    <w:link w:val="150"/>
    <w:qFormat/>
    <w:uiPriority w:val="30"/>
    <w:rPr>
      <w:b/>
      <w:bCs/>
      <w:i/>
      <w:iCs/>
      <w:color w:val="4F81BD" w:themeColor="accent1"/>
      <w14:textFill>
        <w14:solidFill>
          <w14:schemeClr w14:val="accent1"/>
        </w14:solidFill>
      </w14:textFill>
    </w:rPr>
  </w:style>
  <w:style w:type="paragraph" w:styleId="150">
    <w:name w:val="Intense Quote"/>
    <w:basedOn w:val="1"/>
    <w:next w:val="1"/>
    <w:link w:val="14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1">
    <w:name w:val="Subtle Reference"/>
    <w:basedOn w:val="132"/>
    <w:qFormat/>
    <w:uiPriority w:val="31"/>
    <w:rPr>
      <w:smallCaps/>
      <w:color w:val="C0504D" w:themeColor="accent2"/>
      <w:u w:val="single"/>
      <w14:textFill>
        <w14:solidFill>
          <w14:schemeClr w14:val="accent2"/>
        </w14:solidFill>
      </w14:textFill>
    </w:rPr>
  </w:style>
  <w:style w:type="character" w:customStyle="1" w:styleId="152">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3">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4">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5">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57">
    <w:name w:val="Book Title"/>
    <w:basedOn w:val="132"/>
    <w:qFormat/>
    <w:uiPriority w:val="33"/>
    <w:rPr>
      <w:b/>
      <w:bCs/>
      <w:smallCaps/>
      <w:spacing w:val="5"/>
    </w:rPr>
  </w:style>
  <w:style w:type="character" w:customStyle="1" w:styleId="158">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9">
    <w:name w:val="Body Text 2 Char"/>
    <w:basedOn w:val="132"/>
    <w:link w:val="28"/>
    <w:qFormat/>
    <w:uiPriority w:val="99"/>
  </w:style>
  <w:style w:type="character" w:customStyle="1" w:styleId="160">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6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62">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3">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Pages>
  <Words>1169</Words>
  <Characters>1637</Characters>
  <TotalTime>7</TotalTime>
  <ScaleCrop>false</ScaleCrop>
  <LinksUpToDate>false</LinksUpToDate>
  <CharactersWithSpaces>1698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2026-10-23T16:28:00Z</dcterms:created>
  <dc:creator>GXNUFANCY</dc:creator>
  <cp:lastModifiedBy>子琰</cp:lastModifiedBy>
  <dcterms:modified xsi:type="dcterms:W3CDTF">2026-10-23T09:45:06Z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2D00036E9D5249E1B10166C7E6976A6B_13</vt:lpwstr>
  </property>
  <property fmtid="{D5CDD505-2E9C-101B-9397-08002B2CF9AE}" pid="4" name="KSOTemplateDocerSaveRecord">
    <vt:lpwstr>eyJoZGlkIjoiMzEwNTM5NzYwMDRjMzkwZTVkZjY2ODkwMGIxNGU0OTUiLCJ1c2VySWQiOiIyNDM4NDMxMDkifQ==</vt:lpwstr>
  </property>
</Properties>
</file>